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7F24" w:rsidRPr="00F44003" w:rsidRDefault="007B7F24" w:rsidP="007B7F24">
      <w:pPr>
        <w:spacing w:before="240" w:after="240" w:line="360" w:lineRule="auto"/>
        <w:jc w:val="right"/>
        <w:rPr>
          <w:rFonts w:ascii="Palatino Linotype" w:hAnsi="Palatino Linotype"/>
          <w:b/>
          <w:sz w:val="24"/>
          <w:szCs w:val="24"/>
        </w:rPr>
      </w:pPr>
      <w:r w:rsidRPr="00F44003">
        <w:rPr>
          <w:rFonts w:ascii="Palatino Linotype" w:hAnsi="Palatino Linotype"/>
          <w:b/>
          <w:sz w:val="24"/>
          <w:szCs w:val="24"/>
        </w:rPr>
        <w:t>Metepec, México</w:t>
      </w:r>
      <w:r w:rsidR="00022D58" w:rsidRPr="00F44003">
        <w:rPr>
          <w:rFonts w:ascii="Palatino Linotype" w:hAnsi="Palatino Linotype"/>
          <w:b/>
          <w:sz w:val="24"/>
          <w:szCs w:val="24"/>
        </w:rPr>
        <w:t>.</w:t>
      </w:r>
    </w:p>
    <w:p w:rsidR="007B7F24" w:rsidRPr="00F44003" w:rsidRDefault="00F943FC" w:rsidP="007B7F24">
      <w:pPr>
        <w:spacing w:before="240" w:after="240" w:line="360" w:lineRule="auto"/>
        <w:jc w:val="right"/>
        <w:rPr>
          <w:rFonts w:ascii="Palatino Linotype" w:hAnsi="Palatino Linotype"/>
          <w:b/>
          <w:sz w:val="24"/>
          <w:szCs w:val="24"/>
        </w:rPr>
      </w:pPr>
      <w:r w:rsidRPr="00F44003">
        <w:rPr>
          <w:rFonts w:ascii="Palatino Linotype" w:hAnsi="Palatino Linotype"/>
          <w:b/>
          <w:sz w:val="24"/>
          <w:szCs w:val="24"/>
        </w:rPr>
        <w:t>Abril</w:t>
      </w:r>
      <w:r w:rsidR="00051684" w:rsidRPr="00F44003">
        <w:rPr>
          <w:rFonts w:ascii="Palatino Linotype" w:hAnsi="Palatino Linotype"/>
          <w:b/>
          <w:sz w:val="24"/>
          <w:szCs w:val="24"/>
        </w:rPr>
        <w:t xml:space="preserve"> </w:t>
      </w:r>
      <w:r w:rsidR="005F1723" w:rsidRPr="00F44003">
        <w:rPr>
          <w:rFonts w:ascii="Palatino Linotype" w:hAnsi="Palatino Linotype"/>
          <w:b/>
          <w:sz w:val="24"/>
          <w:szCs w:val="24"/>
        </w:rPr>
        <w:t>29</w:t>
      </w:r>
      <w:r w:rsidR="007C75B4" w:rsidRPr="00F44003">
        <w:rPr>
          <w:rFonts w:ascii="Palatino Linotype" w:hAnsi="Palatino Linotype"/>
          <w:b/>
          <w:sz w:val="24"/>
          <w:szCs w:val="24"/>
        </w:rPr>
        <w:t xml:space="preserve"> </w:t>
      </w:r>
      <w:r w:rsidR="007B7F24" w:rsidRPr="00F44003">
        <w:rPr>
          <w:rFonts w:ascii="Palatino Linotype" w:hAnsi="Palatino Linotype"/>
          <w:b/>
          <w:sz w:val="24"/>
          <w:szCs w:val="24"/>
        </w:rPr>
        <w:t>de 201</w:t>
      </w:r>
      <w:r w:rsidR="007C75B4" w:rsidRPr="00F44003">
        <w:rPr>
          <w:rFonts w:ascii="Palatino Linotype" w:hAnsi="Palatino Linotype"/>
          <w:b/>
          <w:sz w:val="24"/>
          <w:szCs w:val="24"/>
        </w:rPr>
        <w:t>9</w:t>
      </w:r>
    </w:p>
    <w:p w:rsidR="007B7F24" w:rsidRPr="00F44003" w:rsidRDefault="007B7F24" w:rsidP="007B7F24">
      <w:pPr>
        <w:spacing w:before="240" w:after="240" w:line="360" w:lineRule="auto"/>
        <w:jc w:val="both"/>
        <w:rPr>
          <w:b/>
          <w:noProof/>
          <w:sz w:val="24"/>
          <w:szCs w:val="24"/>
          <w:lang w:eastAsia="es-MX"/>
        </w:rPr>
      </w:pPr>
      <w:r w:rsidRPr="00F44003">
        <w:rPr>
          <w:b/>
          <w:noProof/>
          <w:sz w:val="24"/>
          <w:szCs w:val="24"/>
          <w:lang w:eastAsia="es-MX"/>
        </w:rPr>
        <mc:AlternateContent>
          <mc:Choice Requires="wps">
            <w:drawing>
              <wp:anchor distT="0" distB="0" distL="114300" distR="114300" simplePos="0" relativeHeight="251659264" behindDoc="1" locked="0" layoutInCell="0" allowOverlap="1" wp14:anchorId="16616CA3" wp14:editId="32915C9E">
                <wp:simplePos x="0" y="0"/>
                <wp:positionH relativeFrom="margin">
                  <wp:align>center</wp:align>
                </wp:positionH>
                <wp:positionV relativeFrom="margin">
                  <wp:posOffset>3325692</wp:posOffset>
                </wp:positionV>
                <wp:extent cx="7092315" cy="81788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092315" cy="8178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B7F24" w:rsidRPr="0038192B" w:rsidRDefault="0038192B" w:rsidP="0038192B">
                            <w:pPr>
                              <w:pStyle w:val="NormalWeb"/>
                              <w:spacing w:before="0" w:beforeAutospacing="0" w:after="0" w:afterAutospacing="0"/>
                              <w:jc w:val="center"/>
                              <w:rPr>
                                <w:rFonts w:ascii="Palatino Linotype" w:hAnsi="Palatino Linotype"/>
                                <w:color w:val="A6A6A6" w:themeColor="background1" w:themeShade="A6"/>
                                <w:sz w:val="72"/>
                                <w:szCs w:val="72"/>
                                <w14:textFill>
                                  <w14:solidFill>
                                    <w14:schemeClr w14:val="bg1">
                                      <w14:alpha w14:val="50000"/>
                                      <w14:lumMod w14:val="65000"/>
                                    </w14:schemeClr>
                                  </w14:solidFill>
                                </w14:textFill>
                              </w:rPr>
                            </w:pPr>
                            <w:r>
                              <w:rPr>
                                <w:rFonts w:ascii="Palatino Linotype" w:hAnsi="Palatino Linotype"/>
                                <w:color w:val="A6A6A6" w:themeColor="background1" w:themeShade="A6"/>
                                <w:sz w:val="72"/>
                                <w:szCs w:val="72"/>
                                <w14:textFill>
                                  <w14:solidFill>
                                    <w14:schemeClr w14:val="bg1">
                                      <w14:alpha w14:val="50000"/>
                                      <w14:lumMod w14:val="65000"/>
                                    </w14:schemeClr>
                                  </w14:solidFill>
                                </w14:textFill>
                              </w:rPr>
                              <w:t xml:space="preserve"> </w:t>
                            </w:r>
                            <w:r w:rsidR="007B7F24">
                              <w:rPr>
                                <w:rFonts w:ascii="Palatino Linotype" w:hAnsi="Palatino Linotype"/>
                                <w:color w:val="A6A6A6" w:themeColor="background1" w:themeShade="A6"/>
                                <w:sz w:val="72"/>
                                <w:szCs w:val="72"/>
                                <w14:textFill>
                                  <w14:solidFill>
                                    <w14:schemeClr w14:val="bg1">
                                      <w14:alpha w14:val="50000"/>
                                      <w14:lumMod w14:val="65000"/>
                                    </w14:schemeClr>
                                  </w14:solidFill>
                                </w14:textFill>
                              </w:rPr>
                              <w:t>VOTO PARTICULAR</w:t>
                            </w:r>
                            <w:r>
                              <w:rPr>
                                <w:rFonts w:ascii="Palatino Linotype" w:hAnsi="Palatino Linotype"/>
                                <w:color w:val="A6A6A6" w:themeColor="background1" w:themeShade="A6"/>
                                <w:sz w:val="72"/>
                                <w:szCs w:val="72"/>
                                <w14:textFill>
                                  <w14:solidFill>
                                    <w14:schemeClr w14:val="bg1">
                                      <w14:alpha w14:val="50000"/>
                                      <w14:lumMod w14:val="65000"/>
                                    </w14:schemeClr>
                                  </w14:solidFill>
                                </w14:textFill>
                              </w:rPr>
                              <w:t xml:space="preser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6616CA3" id="_x0000_t202" coordsize="21600,21600" o:spt="202" path="m,l,21600r21600,l21600,xe">
                <v:stroke joinstyle="miter"/>
                <v:path gradientshapeok="t" o:connecttype="rect"/>
              </v:shapetype>
              <v:shape id="Cuadro de texto 1" o:spid="_x0000_s1026" type="#_x0000_t202" style="position:absolute;left:0;text-align:left;margin-left:0;margin-top:261.85pt;width:558.45pt;height:64.4pt;rotation:-45;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" o:allowincell="f" filled="f" stroked="f">
                <v:stroke joinstyle="round"/>
                <o:lock v:ext="edit" shapetype="t"/>
                <v:textbox style="mso-fit-shape-to-text:t">
                  <w:txbxContent>
                    <w:p w:rsidR="007B7F24" w:rsidRPr="0038192B" w:rsidRDefault="0038192B" w:rsidP="0038192B">
                      <w:pPr>
                        <w:pStyle w:val="NormalWeb"/>
                        <w:spacing w:before="0" w:beforeAutospacing="0" w:after="0" w:afterAutospacing="0"/>
                        <w:jc w:val="center"/>
                        <w:rPr>
                          <w:rFonts w:ascii="Palatino Linotype" w:hAnsi="Palatino Linotype"/>
                          <w:color w:val="A6A6A6" w:themeColor="background1" w:themeShade="A6"/>
                          <w:sz w:val="72"/>
                          <w:szCs w:val="72"/>
                          <w14:textFill>
                            <w14:solidFill>
                              <w14:schemeClr w14:val="bg1">
                                <w14:alpha w14:val="50000"/>
                                <w14:lumMod w14:val="65000"/>
                              </w14:schemeClr>
                            </w14:solidFill>
                          </w14:textFill>
                        </w:rPr>
                      </w:pPr>
                      <w:r>
                        <w:rPr>
                          <w:rFonts w:ascii="Palatino Linotype" w:hAnsi="Palatino Linotype"/>
                          <w:color w:val="A6A6A6" w:themeColor="background1" w:themeShade="A6"/>
                          <w:sz w:val="72"/>
                          <w:szCs w:val="72"/>
                          <w14:textFill>
                            <w14:solidFill>
                              <w14:schemeClr w14:val="bg1">
                                <w14:alpha w14:val="50000"/>
                                <w14:lumMod w14:val="65000"/>
                              </w14:schemeClr>
                            </w14:solidFill>
                          </w14:textFill>
                        </w:rPr>
                        <w:t xml:space="preserve"> </w:t>
                      </w:r>
                      <w:r w:rsidR="007B7F24">
                        <w:rPr>
                          <w:rFonts w:ascii="Palatino Linotype" w:hAnsi="Palatino Linotype"/>
                          <w:color w:val="A6A6A6" w:themeColor="background1" w:themeShade="A6"/>
                          <w:sz w:val="72"/>
                          <w:szCs w:val="72"/>
                          <w14:textFill>
                            <w14:solidFill>
                              <w14:schemeClr w14:val="bg1">
                                <w14:alpha w14:val="50000"/>
                                <w14:lumMod w14:val="65000"/>
                              </w14:schemeClr>
                            </w14:solidFill>
                          </w14:textFill>
                        </w:rPr>
                        <w:t>VOTO PARTICULAR</w:t>
                      </w:r>
                      <w:r>
                        <w:rPr>
                          <w:rFonts w:ascii="Palatino Linotype" w:hAnsi="Palatino Linotype"/>
                          <w:color w:val="A6A6A6" w:themeColor="background1" w:themeShade="A6"/>
                          <w:sz w:val="72"/>
                          <w:szCs w:val="72"/>
                          <w14:textFill>
                            <w14:solidFill>
                              <w14:schemeClr w14:val="bg1">
                                <w14:alpha w14:val="50000"/>
                                <w14:lumMod w14:val="65000"/>
                              </w14:schemeClr>
                            </w14:solidFill>
                          </w14:textFill>
                        </w:rPr>
                        <w:t xml:space="preserve"> </w:t>
                      </w:r>
                    </w:p>
                  </w:txbxContent>
                </v:textbox>
                <w10:wrap anchorx="margin" anchory="margin"/>
              </v:shape>
            </w:pict>
          </mc:Fallback>
        </mc:AlternateContent>
      </w:r>
      <w:r w:rsidRPr="00F44003">
        <w:rPr>
          <w:rFonts w:ascii="Palatino Linotype" w:hAnsi="Palatino Linotype"/>
          <w:b/>
          <w:sz w:val="24"/>
          <w:szCs w:val="24"/>
        </w:rPr>
        <w:t>VOTO PARTICULAR</w:t>
      </w:r>
      <w:r w:rsidR="001402AF" w:rsidRPr="00F44003">
        <w:rPr>
          <w:rFonts w:ascii="Palatino Linotype" w:hAnsi="Palatino Linotype"/>
          <w:b/>
          <w:sz w:val="24"/>
          <w:szCs w:val="24"/>
        </w:rPr>
        <w:t xml:space="preserve"> CONCURRENTE</w:t>
      </w:r>
      <w:r w:rsidR="009B3087" w:rsidRPr="00F44003">
        <w:rPr>
          <w:rFonts w:ascii="Palatino Linotype" w:hAnsi="Palatino Linotype"/>
          <w:b/>
          <w:sz w:val="24"/>
          <w:szCs w:val="24"/>
        </w:rPr>
        <w:t xml:space="preserve"> QUE FORMULA</w:t>
      </w:r>
      <w:r w:rsidRPr="00F44003">
        <w:rPr>
          <w:rFonts w:ascii="Palatino Linotype" w:hAnsi="Palatino Linotype"/>
          <w:b/>
          <w:sz w:val="24"/>
          <w:szCs w:val="24"/>
        </w:rPr>
        <w:t xml:space="preserve"> </w:t>
      </w:r>
      <w:r w:rsidR="009B3087" w:rsidRPr="00F44003">
        <w:rPr>
          <w:rFonts w:ascii="Palatino Linotype" w:hAnsi="Palatino Linotype"/>
          <w:b/>
          <w:sz w:val="24"/>
          <w:szCs w:val="24"/>
        </w:rPr>
        <w:t xml:space="preserve">EL </w:t>
      </w:r>
      <w:r w:rsidRPr="00F44003">
        <w:rPr>
          <w:rFonts w:ascii="Palatino Linotype" w:hAnsi="Palatino Linotype"/>
          <w:b/>
          <w:sz w:val="24"/>
          <w:szCs w:val="24"/>
        </w:rPr>
        <w:t xml:space="preserve">COMISIONADO JAVIER MARTÍNEZ CRUZ, EN RELACIÓN CON LA RESOLUCIÓN DICTADA POR EL PLENO DEL INSTITUTO DE TRANSPARENCIA, ACCESO A LA INFORMACIÓN PÚBLICA Y PROTECCIÓN DE DATOS PERSONALES DEL ESTADO DE MÉXICO Y MUNICIPIOS, EN LA </w:t>
      </w:r>
      <w:r w:rsidR="007C75B4" w:rsidRPr="00F44003">
        <w:rPr>
          <w:rFonts w:ascii="Palatino Linotype" w:hAnsi="Palatino Linotype"/>
          <w:b/>
          <w:sz w:val="24"/>
          <w:szCs w:val="24"/>
        </w:rPr>
        <w:t xml:space="preserve">DÉCIMA </w:t>
      </w:r>
      <w:r w:rsidR="00F943FC" w:rsidRPr="00F44003">
        <w:rPr>
          <w:rFonts w:ascii="Palatino Linotype" w:hAnsi="Palatino Linotype"/>
          <w:b/>
          <w:sz w:val="24"/>
          <w:szCs w:val="24"/>
        </w:rPr>
        <w:t>QUINTA</w:t>
      </w:r>
      <w:r w:rsidR="00022D58" w:rsidRPr="00F44003">
        <w:rPr>
          <w:rFonts w:ascii="Palatino Linotype" w:hAnsi="Palatino Linotype"/>
          <w:b/>
          <w:sz w:val="24"/>
          <w:szCs w:val="24"/>
        </w:rPr>
        <w:t xml:space="preserve"> </w:t>
      </w:r>
      <w:r w:rsidRPr="00F44003">
        <w:rPr>
          <w:rFonts w:ascii="Palatino Linotype" w:hAnsi="Palatino Linotype"/>
          <w:b/>
          <w:sz w:val="24"/>
          <w:szCs w:val="24"/>
        </w:rPr>
        <w:t xml:space="preserve">SESIÓN ORDINARIA DEL </w:t>
      </w:r>
      <w:r w:rsidR="005F1723" w:rsidRPr="00F44003">
        <w:rPr>
          <w:rFonts w:ascii="Palatino Linotype" w:hAnsi="Palatino Linotype"/>
          <w:b/>
          <w:sz w:val="24"/>
          <w:szCs w:val="24"/>
        </w:rPr>
        <w:t>VEINTI</w:t>
      </w:r>
      <w:r w:rsidR="00F943FC" w:rsidRPr="00F44003">
        <w:rPr>
          <w:rFonts w:ascii="Palatino Linotype" w:hAnsi="Palatino Linotype"/>
          <w:b/>
          <w:sz w:val="24"/>
          <w:szCs w:val="24"/>
        </w:rPr>
        <w:t>CUATRO</w:t>
      </w:r>
      <w:r w:rsidR="005F1723" w:rsidRPr="00F44003">
        <w:rPr>
          <w:rFonts w:ascii="Palatino Linotype" w:hAnsi="Palatino Linotype"/>
          <w:b/>
          <w:sz w:val="24"/>
          <w:szCs w:val="24"/>
        </w:rPr>
        <w:t xml:space="preserve"> </w:t>
      </w:r>
      <w:r w:rsidR="00051684" w:rsidRPr="00F44003">
        <w:rPr>
          <w:rFonts w:ascii="Palatino Linotype" w:hAnsi="Palatino Linotype"/>
          <w:b/>
          <w:sz w:val="24"/>
          <w:szCs w:val="24"/>
        </w:rPr>
        <w:t>D</w:t>
      </w:r>
      <w:r w:rsidR="00022D58" w:rsidRPr="00F44003">
        <w:rPr>
          <w:rFonts w:ascii="Palatino Linotype" w:hAnsi="Palatino Linotype"/>
          <w:b/>
          <w:sz w:val="24"/>
          <w:szCs w:val="24"/>
        </w:rPr>
        <w:t xml:space="preserve">E </w:t>
      </w:r>
      <w:r w:rsidR="00F943FC" w:rsidRPr="00F44003">
        <w:rPr>
          <w:rFonts w:ascii="Palatino Linotype" w:hAnsi="Palatino Linotype"/>
          <w:b/>
          <w:sz w:val="24"/>
          <w:szCs w:val="24"/>
        </w:rPr>
        <w:t>ABRIL</w:t>
      </w:r>
      <w:r w:rsidR="007C75B4" w:rsidRPr="00F44003">
        <w:rPr>
          <w:rFonts w:ascii="Palatino Linotype" w:hAnsi="Palatino Linotype"/>
          <w:b/>
          <w:sz w:val="24"/>
          <w:szCs w:val="24"/>
        </w:rPr>
        <w:t xml:space="preserve"> </w:t>
      </w:r>
      <w:r w:rsidRPr="00F44003">
        <w:rPr>
          <w:rFonts w:ascii="Palatino Linotype" w:hAnsi="Palatino Linotype"/>
          <w:b/>
          <w:sz w:val="24"/>
          <w:szCs w:val="24"/>
        </w:rPr>
        <w:t xml:space="preserve">DE DOS MIL </w:t>
      </w:r>
      <w:r w:rsidR="00022D58" w:rsidRPr="00F44003">
        <w:rPr>
          <w:rFonts w:ascii="Palatino Linotype" w:hAnsi="Palatino Linotype"/>
          <w:b/>
          <w:sz w:val="24"/>
          <w:szCs w:val="24"/>
        </w:rPr>
        <w:t>DIECI</w:t>
      </w:r>
      <w:r w:rsidR="007C75B4" w:rsidRPr="00F44003">
        <w:rPr>
          <w:rFonts w:ascii="Palatino Linotype" w:hAnsi="Palatino Linotype"/>
          <w:b/>
          <w:sz w:val="24"/>
          <w:szCs w:val="24"/>
        </w:rPr>
        <w:t>NUEVE</w:t>
      </w:r>
      <w:r w:rsidRPr="00F44003">
        <w:rPr>
          <w:rFonts w:ascii="Palatino Linotype" w:hAnsi="Palatino Linotype"/>
          <w:b/>
          <w:sz w:val="24"/>
          <w:szCs w:val="24"/>
        </w:rPr>
        <w:t xml:space="preserve">, EN EL RECURSO DE REVISIÓN </w:t>
      </w:r>
      <w:r w:rsidR="00F943FC" w:rsidRPr="00F44003">
        <w:rPr>
          <w:rFonts w:ascii="Palatino Linotype" w:hAnsi="Palatino Linotype"/>
          <w:b/>
          <w:bCs/>
          <w:sz w:val="24"/>
          <w:szCs w:val="24"/>
        </w:rPr>
        <w:t>0737</w:t>
      </w:r>
      <w:r w:rsidR="00022D58" w:rsidRPr="00F44003">
        <w:rPr>
          <w:rFonts w:ascii="Palatino Linotype" w:hAnsi="Palatino Linotype"/>
          <w:b/>
          <w:bCs/>
          <w:sz w:val="24"/>
          <w:szCs w:val="24"/>
        </w:rPr>
        <w:t>/INFOEM/IP/RR/201</w:t>
      </w:r>
      <w:r w:rsidR="007C75B4" w:rsidRPr="00F44003">
        <w:rPr>
          <w:rFonts w:ascii="Palatino Linotype" w:hAnsi="Palatino Linotype"/>
          <w:b/>
          <w:bCs/>
          <w:sz w:val="24"/>
          <w:szCs w:val="24"/>
        </w:rPr>
        <w:t>9</w:t>
      </w:r>
      <w:r w:rsidRPr="00F44003">
        <w:rPr>
          <w:rFonts w:ascii="Palatino Linotype" w:hAnsi="Palatino Linotype"/>
          <w:b/>
          <w:sz w:val="24"/>
          <w:szCs w:val="24"/>
        </w:rPr>
        <w:t>.</w:t>
      </w:r>
      <w:r w:rsidRPr="00F44003">
        <w:rPr>
          <w:b/>
          <w:noProof/>
          <w:sz w:val="24"/>
          <w:szCs w:val="24"/>
          <w:lang w:eastAsia="es-MX"/>
        </w:rPr>
        <w:t xml:space="preserve"> </w:t>
      </w:r>
    </w:p>
    <w:p w:rsidR="007B7F24" w:rsidRPr="00F44003" w:rsidRDefault="007B7F24" w:rsidP="007B7F24">
      <w:pPr>
        <w:spacing w:before="240" w:after="240" w:line="360" w:lineRule="auto"/>
        <w:jc w:val="both"/>
        <w:rPr>
          <w:rFonts w:ascii="Palatino Linotype" w:hAnsi="Palatino Linotype"/>
          <w:sz w:val="24"/>
          <w:szCs w:val="24"/>
        </w:rPr>
      </w:pPr>
      <w:r w:rsidRPr="00F44003">
        <w:rPr>
          <w:rFonts w:ascii="Palatino Linotype" w:hAnsi="Palatino Linotype"/>
          <w:sz w:val="24"/>
          <w:szCs w:val="24"/>
        </w:rPr>
        <w:t xml:space="preserve">El Pleno del Instituto de Transparencia, Acceso a la Información Pública y Protección de Datos Personales del Estado de México resolvió por unanimidad de votos,  la resolución relativa al recurso de revisión </w:t>
      </w:r>
      <w:r w:rsidR="00B93EB2" w:rsidRPr="00F44003">
        <w:rPr>
          <w:rFonts w:ascii="Palatino Linotype" w:hAnsi="Palatino Linotype" w:cs="Arial"/>
          <w:b/>
          <w:bCs/>
          <w:sz w:val="24"/>
          <w:szCs w:val="24"/>
          <w:lang w:eastAsia="es-MX"/>
        </w:rPr>
        <w:t>0</w:t>
      </w:r>
      <w:r w:rsidR="00F943FC" w:rsidRPr="00F44003">
        <w:rPr>
          <w:rFonts w:ascii="Palatino Linotype" w:hAnsi="Palatino Linotype" w:cs="Arial"/>
          <w:b/>
          <w:bCs/>
          <w:sz w:val="24"/>
          <w:szCs w:val="24"/>
          <w:lang w:eastAsia="es-MX"/>
        </w:rPr>
        <w:t>737</w:t>
      </w:r>
      <w:r w:rsidR="00022D58" w:rsidRPr="00F44003">
        <w:rPr>
          <w:rFonts w:ascii="Palatino Linotype" w:hAnsi="Palatino Linotype" w:cs="Arial"/>
          <w:b/>
          <w:bCs/>
          <w:sz w:val="24"/>
          <w:szCs w:val="24"/>
          <w:lang w:eastAsia="es-MX"/>
        </w:rPr>
        <w:t>/INFOEM/IP/RR/201</w:t>
      </w:r>
      <w:r w:rsidR="00B93EB2" w:rsidRPr="00F44003">
        <w:rPr>
          <w:rFonts w:ascii="Palatino Linotype" w:hAnsi="Palatino Linotype" w:cs="Arial"/>
          <w:b/>
          <w:bCs/>
          <w:sz w:val="24"/>
          <w:szCs w:val="24"/>
          <w:lang w:eastAsia="es-MX"/>
        </w:rPr>
        <w:t>9</w:t>
      </w:r>
      <w:r w:rsidRPr="00F44003">
        <w:rPr>
          <w:rFonts w:ascii="Palatino Linotype" w:hAnsi="Palatino Linotype" w:cs="Arial"/>
          <w:bCs/>
          <w:sz w:val="24"/>
          <w:szCs w:val="24"/>
          <w:lang w:eastAsia="es-MX"/>
        </w:rPr>
        <w:t xml:space="preserve"> </w:t>
      </w:r>
      <w:r w:rsidR="00051684" w:rsidRPr="00F44003">
        <w:rPr>
          <w:rFonts w:ascii="Palatino Linotype" w:hAnsi="Palatino Linotype"/>
          <w:sz w:val="24"/>
          <w:szCs w:val="24"/>
        </w:rPr>
        <w:t xml:space="preserve">presentada por </w:t>
      </w:r>
      <w:r w:rsidRPr="00F44003">
        <w:rPr>
          <w:rFonts w:ascii="Palatino Linotype" w:hAnsi="Palatino Linotype"/>
          <w:sz w:val="24"/>
          <w:szCs w:val="24"/>
        </w:rPr>
        <w:t>l</w:t>
      </w:r>
      <w:r w:rsidR="00F943FC" w:rsidRPr="00F44003">
        <w:rPr>
          <w:rFonts w:ascii="Palatino Linotype" w:hAnsi="Palatino Linotype"/>
          <w:sz w:val="24"/>
          <w:szCs w:val="24"/>
        </w:rPr>
        <w:t>a</w:t>
      </w:r>
      <w:r w:rsidRPr="00F44003">
        <w:rPr>
          <w:rFonts w:ascii="Palatino Linotype" w:hAnsi="Palatino Linotype"/>
          <w:sz w:val="24"/>
          <w:szCs w:val="24"/>
        </w:rPr>
        <w:t xml:space="preserve"> Comisionad</w:t>
      </w:r>
      <w:r w:rsidR="00F943FC" w:rsidRPr="00F44003">
        <w:rPr>
          <w:rFonts w:ascii="Palatino Linotype" w:hAnsi="Palatino Linotype"/>
          <w:sz w:val="24"/>
          <w:szCs w:val="24"/>
        </w:rPr>
        <w:t>a</w:t>
      </w:r>
      <w:r w:rsidR="00022D58" w:rsidRPr="00F44003">
        <w:rPr>
          <w:rFonts w:ascii="Palatino Linotype" w:hAnsi="Palatino Linotype"/>
          <w:sz w:val="24"/>
          <w:szCs w:val="24"/>
        </w:rPr>
        <w:t xml:space="preserve"> </w:t>
      </w:r>
      <w:r w:rsidR="00F943FC" w:rsidRPr="00F44003">
        <w:rPr>
          <w:rFonts w:ascii="Palatino Linotype" w:hAnsi="Palatino Linotype"/>
          <w:sz w:val="24"/>
          <w:szCs w:val="24"/>
        </w:rPr>
        <w:t xml:space="preserve">Eva </w:t>
      </w:r>
      <w:proofErr w:type="spellStart"/>
      <w:r w:rsidR="00F943FC" w:rsidRPr="00F44003">
        <w:rPr>
          <w:rFonts w:ascii="Palatino Linotype" w:hAnsi="Palatino Linotype"/>
          <w:sz w:val="24"/>
          <w:szCs w:val="24"/>
        </w:rPr>
        <w:t>Abaid</w:t>
      </w:r>
      <w:proofErr w:type="spellEnd"/>
      <w:r w:rsidR="00F943FC" w:rsidRPr="00F44003">
        <w:rPr>
          <w:rFonts w:ascii="Palatino Linotype" w:hAnsi="Palatino Linotype"/>
          <w:sz w:val="24"/>
          <w:szCs w:val="24"/>
        </w:rPr>
        <w:t xml:space="preserve"> </w:t>
      </w:r>
      <w:proofErr w:type="spellStart"/>
      <w:r w:rsidR="00F943FC" w:rsidRPr="00F44003">
        <w:rPr>
          <w:rFonts w:ascii="Palatino Linotype" w:hAnsi="Palatino Linotype"/>
          <w:sz w:val="24"/>
          <w:szCs w:val="24"/>
        </w:rPr>
        <w:t>Yapur</w:t>
      </w:r>
      <w:proofErr w:type="spellEnd"/>
      <w:r w:rsidR="00022D58" w:rsidRPr="00F44003">
        <w:rPr>
          <w:rFonts w:ascii="Palatino Linotype" w:hAnsi="Palatino Linotype"/>
          <w:sz w:val="24"/>
          <w:szCs w:val="24"/>
        </w:rPr>
        <w:t xml:space="preserve">, respecto de la cual, </w:t>
      </w:r>
      <w:r w:rsidR="00B93EB2" w:rsidRPr="00F44003">
        <w:rPr>
          <w:rFonts w:ascii="Palatino Linotype" w:hAnsi="Palatino Linotype"/>
          <w:sz w:val="24"/>
          <w:szCs w:val="24"/>
        </w:rPr>
        <w:t>e</w:t>
      </w:r>
      <w:r w:rsidRPr="00F44003">
        <w:rPr>
          <w:rFonts w:ascii="Palatino Linotype" w:hAnsi="Palatino Linotype"/>
          <w:sz w:val="24"/>
          <w:szCs w:val="24"/>
        </w:rPr>
        <w:t>l</w:t>
      </w:r>
      <w:r w:rsidR="00022D58" w:rsidRPr="00F44003">
        <w:rPr>
          <w:rFonts w:ascii="Palatino Linotype" w:hAnsi="Palatino Linotype"/>
          <w:sz w:val="24"/>
          <w:szCs w:val="24"/>
        </w:rPr>
        <w:t xml:space="preserve"> </w:t>
      </w:r>
      <w:r w:rsidRPr="00F44003">
        <w:rPr>
          <w:rFonts w:ascii="Palatino Linotype" w:hAnsi="Palatino Linotype"/>
          <w:sz w:val="24"/>
          <w:szCs w:val="24"/>
        </w:rPr>
        <w:t xml:space="preserve">suscrito, formula </w:t>
      </w:r>
      <w:r w:rsidRPr="00F44003">
        <w:rPr>
          <w:rFonts w:ascii="Palatino Linotype" w:hAnsi="Palatino Linotype"/>
          <w:b/>
          <w:sz w:val="24"/>
          <w:szCs w:val="24"/>
        </w:rPr>
        <w:t>VOTO PARTICULAR</w:t>
      </w:r>
      <w:r w:rsidRPr="00F44003">
        <w:rPr>
          <w:rFonts w:ascii="Palatino Linotype" w:hAnsi="Palatino Linotype"/>
          <w:sz w:val="24"/>
          <w:szCs w:val="24"/>
        </w:rPr>
        <w:t>, con fundamento en el artículo 14 fracción XI del Reglamento del Instituto de Transparencia, Acceso a la Información Pública y Protección de Personales Datos del Estado de México.</w:t>
      </w:r>
    </w:p>
    <w:p w:rsidR="00781E0F" w:rsidRPr="00F44003" w:rsidRDefault="005F1723" w:rsidP="005F1723">
      <w:pPr>
        <w:spacing w:before="240" w:after="240" w:line="360" w:lineRule="auto"/>
        <w:jc w:val="both"/>
        <w:rPr>
          <w:rFonts w:ascii="Palatino Linotype" w:hAnsi="Palatino Linotype"/>
          <w:sz w:val="24"/>
          <w:szCs w:val="24"/>
        </w:rPr>
      </w:pPr>
      <w:r w:rsidRPr="00F44003">
        <w:rPr>
          <w:rFonts w:ascii="Palatino Linotype" w:hAnsi="Palatino Linotype"/>
          <w:sz w:val="24"/>
          <w:szCs w:val="24"/>
        </w:rPr>
        <w:t xml:space="preserve">De manera previa  la emisión del presente voto particular, es importante mencionar la materia en que radicó el recurso de revisión en comento, el cual consistió en la entrega de documentación relacionada </w:t>
      </w:r>
      <w:r w:rsidR="00F943FC" w:rsidRPr="00F44003">
        <w:rPr>
          <w:rFonts w:ascii="Palatino Linotype" w:hAnsi="Palatino Linotype"/>
          <w:sz w:val="24"/>
          <w:szCs w:val="24"/>
        </w:rPr>
        <w:t>con los servidores públicos que han renunciado o fueron dados de baja del Instituto de Seguridad Social del Estado de México y Municipios</w:t>
      </w:r>
      <w:r w:rsidR="003865B9" w:rsidRPr="00F44003">
        <w:rPr>
          <w:rFonts w:ascii="Palatino Linotype" w:hAnsi="Palatino Linotype"/>
          <w:sz w:val="24"/>
          <w:szCs w:val="24"/>
        </w:rPr>
        <w:t xml:space="preserve"> en el Ayuntamiento de </w:t>
      </w:r>
      <w:proofErr w:type="spellStart"/>
      <w:r w:rsidR="003865B9" w:rsidRPr="00F44003">
        <w:rPr>
          <w:rFonts w:ascii="Palatino Linotype" w:hAnsi="Palatino Linotype"/>
          <w:sz w:val="24"/>
          <w:szCs w:val="24"/>
        </w:rPr>
        <w:t>Oztolotepec</w:t>
      </w:r>
      <w:proofErr w:type="spellEnd"/>
      <w:r w:rsidR="00F943FC" w:rsidRPr="00F44003">
        <w:rPr>
          <w:rFonts w:ascii="Palatino Linotype" w:hAnsi="Palatino Linotype"/>
          <w:sz w:val="24"/>
          <w:szCs w:val="24"/>
        </w:rPr>
        <w:t>, en el periodo comprendido entre el uno de enero y el veintidós de enero de dos mil diecinueve especificando su antigüedad, cargo y funciones</w:t>
      </w:r>
      <w:r w:rsidR="00C57860" w:rsidRPr="00F44003">
        <w:rPr>
          <w:rFonts w:ascii="Palatino Linotype" w:hAnsi="Palatino Linotype"/>
          <w:sz w:val="24"/>
          <w:szCs w:val="24"/>
        </w:rPr>
        <w:t xml:space="preserve">; </w:t>
      </w:r>
      <w:r w:rsidR="003865B9" w:rsidRPr="00F44003">
        <w:rPr>
          <w:rFonts w:ascii="Palatino Linotype" w:hAnsi="Palatino Linotype"/>
          <w:sz w:val="24"/>
          <w:szCs w:val="24"/>
        </w:rPr>
        <w:t xml:space="preserve">ante tales requerimientos, la Jefa de </w:t>
      </w:r>
      <w:r w:rsidR="003865B9" w:rsidRPr="00F44003">
        <w:rPr>
          <w:rFonts w:ascii="Palatino Linotype" w:hAnsi="Palatino Linotype"/>
          <w:sz w:val="24"/>
          <w:szCs w:val="24"/>
        </w:rPr>
        <w:lastRenderedPageBreak/>
        <w:t>Recursos Humanos del Sujeto Obligado remitió un listado que contiene el nombre, área y puesto de diversos ex servidores públicos que se presume  fueron dados de baja en el periodo solicitado por el particular</w:t>
      </w:r>
      <w:r w:rsidR="00D937CF" w:rsidRPr="00F44003">
        <w:rPr>
          <w:rFonts w:ascii="Palatino Linotype" w:hAnsi="Palatino Linotype"/>
          <w:sz w:val="24"/>
          <w:szCs w:val="24"/>
        </w:rPr>
        <w:t xml:space="preserve"> así como las diversas funciones que realizan las áreas del Sujeto Obligado</w:t>
      </w:r>
      <w:r w:rsidR="003865B9" w:rsidRPr="00F44003">
        <w:rPr>
          <w:rFonts w:ascii="Palatino Linotype" w:hAnsi="Palatino Linotype"/>
          <w:sz w:val="24"/>
          <w:szCs w:val="24"/>
        </w:rPr>
        <w:t>.</w:t>
      </w:r>
      <w:r w:rsidR="00781E0F" w:rsidRPr="00F44003">
        <w:rPr>
          <w:rFonts w:ascii="Palatino Linotype" w:hAnsi="Palatino Linotype"/>
          <w:sz w:val="24"/>
          <w:szCs w:val="24"/>
        </w:rPr>
        <w:t xml:space="preserve"> Inconforme con la respuesta emitida, el particular interpuso el medio de impugnación en comento, en donde manifestó no haber recibido la información completa.</w:t>
      </w:r>
    </w:p>
    <w:p w:rsidR="00565406" w:rsidRPr="00F44003" w:rsidRDefault="005F1723" w:rsidP="00565406">
      <w:pPr>
        <w:spacing w:before="240" w:after="240" w:line="360" w:lineRule="auto"/>
        <w:jc w:val="both"/>
        <w:rPr>
          <w:rFonts w:ascii="Palatino Linotype" w:hAnsi="Palatino Linotype"/>
          <w:sz w:val="24"/>
          <w:szCs w:val="24"/>
        </w:rPr>
      </w:pPr>
      <w:r w:rsidRPr="00F44003">
        <w:rPr>
          <w:rFonts w:ascii="Palatino Linotype" w:hAnsi="Palatino Linotype"/>
          <w:sz w:val="24"/>
          <w:szCs w:val="24"/>
        </w:rPr>
        <w:t>Por lo anterior, la Ponencia encargada de resolver determin</w:t>
      </w:r>
      <w:r w:rsidR="00B973C9" w:rsidRPr="00F44003">
        <w:rPr>
          <w:rFonts w:ascii="Palatino Linotype" w:hAnsi="Palatino Linotype"/>
          <w:sz w:val="24"/>
          <w:szCs w:val="24"/>
        </w:rPr>
        <w:t>ó entrar</w:t>
      </w:r>
      <w:r w:rsidRPr="00F44003">
        <w:rPr>
          <w:rFonts w:ascii="Palatino Linotype" w:hAnsi="Palatino Linotype"/>
          <w:sz w:val="24"/>
          <w:szCs w:val="24"/>
        </w:rPr>
        <w:t xml:space="preserve"> al análisis de </w:t>
      </w:r>
      <w:r w:rsidR="00565406" w:rsidRPr="00F44003">
        <w:rPr>
          <w:rFonts w:ascii="Palatino Linotype" w:hAnsi="Palatino Linotype"/>
          <w:sz w:val="24"/>
          <w:szCs w:val="24"/>
        </w:rPr>
        <w:t>la información remitida</w:t>
      </w:r>
      <w:r w:rsidR="00B973C9" w:rsidRPr="00F44003">
        <w:rPr>
          <w:rFonts w:ascii="Palatino Linotype" w:hAnsi="Palatino Linotype"/>
          <w:sz w:val="24"/>
          <w:szCs w:val="24"/>
        </w:rPr>
        <w:t xml:space="preserve"> para con ello establecer si se </w:t>
      </w:r>
      <w:r w:rsidR="00565406" w:rsidRPr="00F44003">
        <w:rPr>
          <w:rFonts w:ascii="Palatino Linotype" w:hAnsi="Palatino Linotype"/>
          <w:sz w:val="24"/>
          <w:szCs w:val="24"/>
        </w:rPr>
        <w:t>colmaba el derecho de acceso a l información pública del particular o si procedía ordenar la entrega de algún documento faltante</w:t>
      </w:r>
      <w:r w:rsidR="00B973C9" w:rsidRPr="00F44003">
        <w:rPr>
          <w:rFonts w:ascii="Palatino Linotype" w:hAnsi="Palatino Linotype"/>
          <w:sz w:val="24"/>
          <w:szCs w:val="24"/>
        </w:rPr>
        <w:t>, después de realizar las valoraciones jurídicas pertinentes, se resolvió que el Ayuntamiento en cuestión</w:t>
      </w:r>
      <w:r w:rsidR="00565406" w:rsidRPr="00F44003">
        <w:rPr>
          <w:rFonts w:ascii="Palatino Linotype" w:hAnsi="Palatino Linotype"/>
          <w:sz w:val="24"/>
          <w:szCs w:val="24"/>
        </w:rPr>
        <w:t>,</w:t>
      </w:r>
      <w:r w:rsidR="00B973C9" w:rsidRPr="00F44003">
        <w:rPr>
          <w:rFonts w:ascii="Palatino Linotype" w:hAnsi="Palatino Linotype"/>
          <w:sz w:val="24"/>
          <w:szCs w:val="24"/>
        </w:rPr>
        <w:t xml:space="preserve"> </w:t>
      </w:r>
      <w:r w:rsidR="00565406" w:rsidRPr="00F44003">
        <w:rPr>
          <w:rFonts w:ascii="Palatino Linotype" w:hAnsi="Palatino Linotype"/>
          <w:sz w:val="24"/>
          <w:szCs w:val="24"/>
        </w:rPr>
        <w:t>le remitió al particular la información requerida, ya que se advierte una relación d</w:t>
      </w:r>
      <w:r w:rsidR="005054AB" w:rsidRPr="00F44003">
        <w:rPr>
          <w:rFonts w:ascii="Palatino Linotype" w:hAnsi="Palatino Linotype"/>
          <w:sz w:val="24"/>
          <w:szCs w:val="24"/>
        </w:rPr>
        <w:t xml:space="preserve">e servidores públicos de manera </w:t>
      </w:r>
      <w:r w:rsidR="00565406" w:rsidRPr="00F44003">
        <w:rPr>
          <w:rFonts w:ascii="Palatino Linotype" w:hAnsi="Palatino Linotype"/>
          <w:sz w:val="24"/>
          <w:szCs w:val="24"/>
        </w:rPr>
        <w:t>alfabética y que de acuerdo a la autoridad fueron dad</w:t>
      </w:r>
      <w:r w:rsidR="005054AB" w:rsidRPr="00F44003">
        <w:rPr>
          <w:rFonts w:ascii="Palatino Linotype" w:hAnsi="Palatino Linotype"/>
          <w:sz w:val="24"/>
          <w:szCs w:val="24"/>
        </w:rPr>
        <w:t xml:space="preserve">os de baja del 1 al 22 de enero </w:t>
      </w:r>
      <w:r w:rsidR="00565406" w:rsidRPr="00F44003">
        <w:rPr>
          <w:rFonts w:ascii="Palatino Linotype" w:hAnsi="Palatino Linotype"/>
          <w:sz w:val="24"/>
          <w:szCs w:val="24"/>
        </w:rPr>
        <w:t>de 2019; así también, se puede advertir el área y puest</w:t>
      </w:r>
      <w:r w:rsidR="005054AB" w:rsidRPr="00F44003">
        <w:rPr>
          <w:rFonts w:ascii="Palatino Linotype" w:hAnsi="Palatino Linotype"/>
          <w:sz w:val="24"/>
          <w:szCs w:val="24"/>
        </w:rPr>
        <w:t xml:space="preserve">o de cada una de ellas por lo </w:t>
      </w:r>
      <w:r w:rsidR="00565406" w:rsidRPr="00F44003">
        <w:rPr>
          <w:rFonts w:ascii="Palatino Linotype" w:hAnsi="Palatino Linotype"/>
          <w:sz w:val="24"/>
          <w:szCs w:val="24"/>
        </w:rPr>
        <w:t xml:space="preserve">que de acuerdo a lo requerido por el particular </w:t>
      </w:r>
      <w:r w:rsidR="005054AB" w:rsidRPr="00F44003">
        <w:rPr>
          <w:rFonts w:ascii="Palatino Linotype" w:hAnsi="Palatino Linotype"/>
          <w:sz w:val="24"/>
          <w:szCs w:val="24"/>
        </w:rPr>
        <w:t xml:space="preserve">y al haber dado contestación al </w:t>
      </w:r>
      <w:r w:rsidR="00565406" w:rsidRPr="00F44003">
        <w:rPr>
          <w:rFonts w:ascii="Palatino Linotype" w:hAnsi="Palatino Linotype"/>
          <w:sz w:val="24"/>
          <w:szCs w:val="24"/>
        </w:rPr>
        <w:t>requerimiento,</w:t>
      </w:r>
      <w:r w:rsidR="005054AB" w:rsidRPr="00F44003">
        <w:rPr>
          <w:rFonts w:ascii="Palatino Linotype" w:hAnsi="Palatino Linotype"/>
          <w:sz w:val="24"/>
          <w:szCs w:val="24"/>
        </w:rPr>
        <w:t xml:space="preserve"> esta parte de la solicitud se encontraba satisfecha; más no así por la que refería a los servidores públicos que habían renunciado debido a que del listado esa información no se podía observar, lo mismo que la antigüedad de aquellos que habían sido dados de baja por cualquier motivo, por lo que se determinó modificar la respuesta y ordenar la documentación que diera contestación a los dos puntos faltantes.</w:t>
      </w:r>
    </w:p>
    <w:p w:rsidR="00491472" w:rsidRPr="00F44003" w:rsidRDefault="00B973C9" w:rsidP="005F1723">
      <w:pPr>
        <w:spacing w:before="240" w:after="240" w:line="360" w:lineRule="auto"/>
        <w:jc w:val="both"/>
        <w:rPr>
          <w:rFonts w:ascii="Palatino Linotype" w:eastAsia="MS Mincho" w:hAnsi="Palatino Linotype" w:cs="Arial"/>
          <w:sz w:val="24"/>
          <w:szCs w:val="24"/>
        </w:rPr>
      </w:pPr>
      <w:r w:rsidRPr="00F44003">
        <w:rPr>
          <w:rFonts w:ascii="Palatino Linotype" w:eastAsia="MS Mincho" w:hAnsi="Palatino Linotype" w:cs="Arial"/>
          <w:sz w:val="24"/>
          <w:szCs w:val="24"/>
        </w:rPr>
        <w:t>De lo anterior, es de referir que el suscrito comparte el sentido de la resolución, pues ante</w:t>
      </w:r>
      <w:r w:rsidR="00491472" w:rsidRPr="00F44003">
        <w:rPr>
          <w:rFonts w:ascii="Palatino Linotype" w:eastAsia="MS Mincho" w:hAnsi="Palatino Linotype" w:cs="Arial"/>
          <w:sz w:val="24"/>
          <w:szCs w:val="24"/>
        </w:rPr>
        <w:t xml:space="preserve"> la falta de entrega de información por parte d</w:t>
      </w:r>
      <w:r w:rsidRPr="00F44003">
        <w:rPr>
          <w:rFonts w:ascii="Palatino Linotype" w:eastAsia="MS Mincho" w:hAnsi="Palatino Linotype" w:cs="Arial"/>
          <w:sz w:val="24"/>
          <w:szCs w:val="24"/>
        </w:rPr>
        <w:t xml:space="preserve">el Sujeto Obligado resultaba procedente </w:t>
      </w:r>
      <w:r w:rsidR="00491472" w:rsidRPr="00F44003">
        <w:rPr>
          <w:rFonts w:ascii="Palatino Linotype" w:eastAsia="MS Mincho" w:hAnsi="Palatino Linotype" w:cs="Arial"/>
          <w:sz w:val="24"/>
          <w:szCs w:val="24"/>
        </w:rPr>
        <w:t>modificar su respuesta y ordenar los documentos faltantes</w:t>
      </w:r>
      <w:r w:rsidRPr="00F44003">
        <w:rPr>
          <w:rFonts w:ascii="Palatino Linotype" w:eastAsia="MS Mincho" w:hAnsi="Palatino Linotype" w:cs="Arial"/>
          <w:sz w:val="24"/>
          <w:szCs w:val="24"/>
        </w:rPr>
        <w:t xml:space="preserve">, sin embargo </w:t>
      </w:r>
      <w:r w:rsidRPr="00F44003">
        <w:rPr>
          <w:rFonts w:ascii="Palatino Linotype" w:eastAsia="MS Mincho" w:hAnsi="Palatino Linotype" w:cs="Arial"/>
          <w:sz w:val="24"/>
          <w:szCs w:val="24"/>
        </w:rPr>
        <w:lastRenderedPageBreak/>
        <w:t>no se comparte del todo el análisis presentado pa</w:t>
      </w:r>
      <w:r w:rsidR="00E026B3" w:rsidRPr="00F44003">
        <w:rPr>
          <w:rFonts w:ascii="Palatino Linotype" w:eastAsia="MS Mincho" w:hAnsi="Palatino Linotype" w:cs="Arial"/>
          <w:sz w:val="24"/>
          <w:szCs w:val="24"/>
        </w:rPr>
        <w:t>ra resolver el fondo del asunto, ya que a mi consideración faltó realizar una investigación más exhaustiva, sobre</w:t>
      </w:r>
      <w:r w:rsidR="00491472" w:rsidRPr="00F44003">
        <w:rPr>
          <w:rFonts w:ascii="Palatino Linotype" w:eastAsia="MS Mincho" w:hAnsi="Palatino Linotype" w:cs="Arial"/>
          <w:sz w:val="24"/>
          <w:szCs w:val="24"/>
        </w:rPr>
        <w:t xml:space="preserve"> si las funciones referidas por cada área del Sujeto Obligado podrían satisfacer las funciones que por el tipo de puesto desempeñaban los servidores públicos materia de la solicitud de información y así determinar la procedencia sobre la entrega de algún documento en donde constará lo requerido.</w:t>
      </w:r>
    </w:p>
    <w:p w:rsidR="000B3E0A" w:rsidRPr="00F44003" w:rsidRDefault="00424B4B" w:rsidP="003C6CE4">
      <w:pPr>
        <w:spacing w:before="240" w:after="240" w:line="360" w:lineRule="auto"/>
        <w:jc w:val="both"/>
        <w:rPr>
          <w:rFonts w:ascii="Palatino Linotype" w:hAnsi="Palatino Linotype"/>
          <w:sz w:val="24"/>
          <w:szCs w:val="24"/>
        </w:rPr>
      </w:pPr>
      <w:r w:rsidRPr="00F44003">
        <w:rPr>
          <w:rFonts w:ascii="Palatino Linotype" w:hAnsi="Palatino Linotype"/>
          <w:sz w:val="24"/>
          <w:szCs w:val="24"/>
        </w:rPr>
        <w:t>El</w:t>
      </w:r>
      <w:r w:rsidR="00002C40" w:rsidRPr="00F44003">
        <w:rPr>
          <w:rFonts w:ascii="Palatino Linotype" w:hAnsi="Palatino Linotype"/>
          <w:sz w:val="24"/>
          <w:szCs w:val="24"/>
        </w:rPr>
        <w:t xml:space="preserve">lo es así porque el suscrito considera que las funciones remitidas por Dirección o Unidad no satisfacen el derecho del particular, en </w:t>
      </w:r>
      <w:proofErr w:type="spellStart"/>
      <w:r w:rsidR="00002C40" w:rsidRPr="00F44003">
        <w:rPr>
          <w:rFonts w:ascii="Palatino Linotype" w:hAnsi="Palatino Linotype"/>
          <w:sz w:val="24"/>
          <w:szCs w:val="24"/>
        </w:rPr>
        <w:t>cunto</w:t>
      </w:r>
      <w:proofErr w:type="spellEnd"/>
      <w:r w:rsidR="00002C40" w:rsidRPr="00F44003">
        <w:rPr>
          <w:rFonts w:ascii="Palatino Linotype" w:hAnsi="Palatino Linotype"/>
          <w:sz w:val="24"/>
          <w:szCs w:val="24"/>
        </w:rPr>
        <w:t xml:space="preserve"> a conocer de manera específica las funciones que desempeñaban los servidores públicos, ya que lo remitido únicamente da cuenta por cuanto a un área administrativa, sin determinar o poderse advertir a qué puesto se le encomiendan qué funciones, ya que aunque diversos servidores públicos pertenezcan a una sola área, ello no quiere decir que todos realizan las mismas funciones o que éstas se delegan de manera aleatoria.</w:t>
      </w:r>
    </w:p>
    <w:p w:rsidR="0074660A" w:rsidRPr="00F44003" w:rsidRDefault="0074660A" w:rsidP="003C6CE4">
      <w:pPr>
        <w:spacing w:before="240" w:after="240" w:line="360" w:lineRule="auto"/>
        <w:jc w:val="both"/>
        <w:rPr>
          <w:rFonts w:ascii="Palatino Linotype" w:hAnsi="Palatino Linotype"/>
          <w:sz w:val="24"/>
          <w:szCs w:val="24"/>
        </w:rPr>
      </w:pPr>
      <w:r w:rsidRPr="00F44003">
        <w:rPr>
          <w:rFonts w:ascii="Palatino Linotype" w:hAnsi="Palatino Linotype"/>
          <w:sz w:val="24"/>
          <w:szCs w:val="24"/>
        </w:rPr>
        <w:t>Lo anterior, deriva de que en la Ley del Trabajo de los Servidores Públicos del Estado de México y Municipios, se indica que existirá una categorización de los servidores públicos conforme a sus funciones y duración de sus relaciones de trabajo, por lo que serán generales y de confianza, conforme a los artículos siguientes:</w:t>
      </w:r>
    </w:p>
    <w:p w:rsidR="0074660A" w:rsidRPr="00F44003" w:rsidRDefault="00EA0BD9" w:rsidP="00F44003">
      <w:pPr>
        <w:spacing w:before="100" w:beforeAutospacing="1" w:after="100" w:afterAutospacing="1" w:line="240" w:lineRule="auto"/>
        <w:ind w:left="851" w:right="851"/>
        <w:jc w:val="both"/>
        <w:rPr>
          <w:rFonts w:ascii="Palatino Linotype" w:eastAsia="Calibri" w:hAnsi="Palatino Linotype" w:cs="Segoe UI"/>
          <w:bCs/>
          <w:i/>
          <w:lang w:eastAsia="es-ES"/>
        </w:rPr>
      </w:pPr>
      <w:r w:rsidRPr="00F44003">
        <w:rPr>
          <w:rFonts w:ascii="Palatino Linotype" w:eastAsia="Calibri" w:hAnsi="Palatino Linotype" w:cs="Segoe UI"/>
          <w:b/>
          <w:bCs/>
          <w:i/>
          <w:lang w:eastAsia="es-ES"/>
        </w:rPr>
        <w:t>“</w:t>
      </w:r>
      <w:r w:rsidR="0074660A" w:rsidRPr="00F44003">
        <w:rPr>
          <w:rFonts w:ascii="Palatino Linotype" w:eastAsia="Calibri" w:hAnsi="Palatino Linotype" w:cs="Segoe UI"/>
          <w:b/>
          <w:bCs/>
          <w:i/>
          <w:lang w:eastAsia="es-ES"/>
        </w:rPr>
        <w:t>ARTÍCULO 7</w:t>
      </w:r>
      <w:r w:rsidR="0074660A" w:rsidRPr="00F44003">
        <w:rPr>
          <w:rFonts w:ascii="Palatino Linotype" w:eastAsia="Calibri" w:hAnsi="Palatino Linotype" w:cs="Segoe UI"/>
          <w:bCs/>
          <w:i/>
          <w:lang w:eastAsia="es-ES"/>
        </w:rPr>
        <w:t xml:space="preserve">. </w:t>
      </w:r>
      <w:r w:rsidR="0074660A" w:rsidRPr="00F44003">
        <w:rPr>
          <w:rFonts w:ascii="Palatino Linotype" w:eastAsia="Calibri" w:hAnsi="Palatino Linotype" w:cs="Segoe UI"/>
          <w:b/>
          <w:bCs/>
          <w:i/>
          <w:lang w:eastAsia="es-ES"/>
        </w:rPr>
        <w:t>Son servidores públicos generales los que prestan sus servicios en funciones operativas de carácter manual, material</w:t>
      </w:r>
      <w:r w:rsidR="0074660A" w:rsidRPr="00F44003">
        <w:rPr>
          <w:rFonts w:ascii="Palatino Linotype" w:eastAsia="Calibri" w:hAnsi="Palatino Linotype" w:cs="Segoe UI"/>
          <w:bCs/>
          <w:i/>
          <w:lang w:eastAsia="es-ES"/>
        </w:rPr>
        <w:t>, administrativo, técnico, profesional o de apoyo, realizando tareas asignadas por sus superiores o determinadas en los manuales internos de procedimientos o guías de trabajo, no comprendidos dentro del siguiente artículo.</w:t>
      </w:r>
    </w:p>
    <w:p w:rsidR="0074660A" w:rsidRPr="00F44003" w:rsidRDefault="0074660A" w:rsidP="00F44003">
      <w:pPr>
        <w:spacing w:before="100" w:beforeAutospacing="1" w:after="100" w:afterAutospacing="1" w:line="240" w:lineRule="auto"/>
        <w:ind w:left="851" w:right="851"/>
        <w:jc w:val="both"/>
        <w:rPr>
          <w:rFonts w:ascii="Palatino Linotype" w:eastAsia="Calibri" w:hAnsi="Palatino Linotype" w:cs="Segoe UI"/>
          <w:bCs/>
          <w:i/>
          <w:lang w:eastAsia="es-ES"/>
        </w:rPr>
      </w:pPr>
      <w:r w:rsidRPr="00F44003">
        <w:rPr>
          <w:rFonts w:ascii="Palatino Linotype" w:eastAsia="Calibri" w:hAnsi="Palatino Linotype" w:cs="Segoe UI"/>
          <w:b/>
          <w:bCs/>
          <w:i/>
          <w:lang w:eastAsia="es-ES"/>
        </w:rPr>
        <w:t xml:space="preserve">ARTÍCULO 8. </w:t>
      </w:r>
      <w:r w:rsidRPr="00F44003">
        <w:rPr>
          <w:rFonts w:ascii="Palatino Linotype" w:eastAsia="Calibri" w:hAnsi="Palatino Linotype" w:cs="Segoe UI"/>
          <w:bCs/>
          <w:i/>
          <w:lang w:eastAsia="es-ES"/>
        </w:rPr>
        <w:t>Se entiende por servidores públicos de confianza:</w:t>
      </w:r>
    </w:p>
    <w:p w:rsidR="0074660A" w:rsidRPr="00F44003" w:rsidRDefault="0074660A" w:rsidP="00F44003">
      <w:pPr>
        <w:spacing w:before="100" w:beforeAutospacing="1" w:after="100" w:afterAutospacing="1" w:line="240" w:lineRule="auto"/>
        <w:ind w:left="851" w:right="851"/>
        <w:jc w:val="both"/>
        <w:rPr>
          <w:rFonts w:ascii="Palatino Linotype" w:eastAsia="Calibri" w:hAnsi="Palatino Linotype" w:cs="Segoe UI"/>
          <w:bCs/>
          <w:i/>
          <w:lang w:eastAsia="es-ES"/>
        </w:rPr>
      </w:pPr>
      <w:r w:rsidRPr="00F44003">
        <w:rPr>
          <w:rFonts w:ascii="Palatino Linotype" w:eastAsia="Calibri" w:hAnsi="Palatino Linotype" w:cs="Segoe UI"/>
          <w:bCs/>
          <w:i/>
          <w:lang w:eastAsia="es-ES"/>
        </w:rPr>
        <w:t>…</w:t>
      </w:r>
    </w:p>
    <w:p w:rsidR="0074660A" w:rsidRPr="00F44003" w:rsidRDefault="0074660A" w:rsidP="00F44003">
      <w:pPr>
        <w:spacing w:before="100" w:beforeAutospacing="1" w:after="100" w:afterAutospacing="1" w:line="240" w:lineRule="auto"/>
        <w:ind w:left="851" w:right="851"/>
        <w:jc w:val="both"/>
        <w:rPr>
          <w:rFonts w:ascii="Palatino Linotype" w:eastAsia="Calibri" w:hAnsi="Palatino Linotype" w:cs="Segoe UI"/>
          <w:bCs/>
          <w:i/>
          <w:lang w:eastAsia="es-ES"/>
        </w:rPr>
      </w:pPr>
      <w:r w:rsidRPr="00F44003">
        <w:rPr>
          <w:rFonts w:ascii="Palatino Linotype" w:eastAsia="Calibri" w:hAnsi="Palatino Linotype" w:cs="Segoe UI"/>
          <w:b/>
          <w:bCs/>
          <w:i/>
          <w:lang w:eastAsia="es-ES"/>
        </w:rPr>
        <w:lastRenderedPageBreak/>
        <w:t>II. Aquéllos que tengan esa calidad en razón de la naturaleza de las funciones que desempeñen y no de la designación que se dé al puesto</w:t>
      </w:r>
      <w:r w:rsidRPr="00F44003">
        <w:rPr>
          <w:rFonts w:ascii="Palatino Linotype" w:eastAsia="Calibri" w:hAnsi="Palatino Linotype" w:cs="Segoe UI"/>
          <w:bCs/>
          <w:i/>
          <w:lang w:eastAsia="es-ES"/>
        </w:rPr>
        <w:t>. Son funciones de confianza: las de dirección, inspección, vigilancia, auditoría, fiscalización, asesoría, procuración y administración de justicia y de protección civil, así como las que se relacionen con la representación directa de los titulares de las instituciones públicas o dependencias, con el manejo de recursos, las que realicen los auxiliares directos, asesores, secretarios particulares y adjuntos, choferes, secretarias y demás personal operativo que les sean asignados directamente a los servidores públicos de confianza o de elección popular, así como aquellas que se desempeñen por mandato de la norma que rigen las condiciones de trabajo de la institución pública.</w:t>
      </w:r>
      <w:r w:rsidR="00EA0BD9" w:rsidRPr="00F44003">
        <w:rPr>
          <w:rFonts w:ascii="Palatino Linotype" w:eastAsia="Calibri" w:hAnsi="Palatino Linotype" w:cs="Segoe UI"/>
          <w:bCs/>
          <w:i/>
          <w:lang w:eastAsia="es-ES"/>
        </w:rPr>
        <w:t>”</w:t>
      </w:r>
    </w:p>
    <w:p w:rsidR="00EA0BD9" w:rsidRPr="00F44003" w:rsidRDefault="00EA0BD9" w:rsidP="001D05CE">
      <w:pPr>
        <w:spacing w:before="240" w:after="240" w:line="360" w:lineRule="auto"/>
        <w:jc w:val="both"/>
        <w:rPr>
          <w:rFonts w:ascii="Palatino Linotype" w:hAnsi="Palatino Linotype"/>
          <w:sz w:val="24"/>
          <w:szCs w:val="24"/>
        </w:rPr>
      </w:pPr>
      <w:r w:rsidRPr="00F44003">
        <w:rPr>
          <w:rFonts w:ascii="Palatino Linotype" w:hAnsi="Palatino Linotype"/>
          <w:sz w:val="24"/>
          <w:szCs w:val="24"/>
        </w:rPr>
        <w:t>Derivado de lo anterior, la misma Ley establece, entre otras cosas, que se procurará proporcionar a los servidores públicos todas las condiciones y útiles necesarios para el desempeño de sus funciones, por lo que se advierte que el Sujeto Obligado debe tener bien</w:t>
      </w:r>
      <w:r w:rsidR="00975C03" w:rsidRPr="00F44003">
        <w:rPr>
          <w:rFonts w:ascii="Palatino Linotype" w:hAnsi="Palatino Linotype"/>
          <w:sz w:val="24"/>
          <w:szCs w:val="24"/>
        </w:rPr>
        <w:t xml:space="preserve"> </w:t>
      </w:r>
      <w:r w:rsidRPr="00F44003">
        <w:rPr>
          <w:rFonts w:ascii="Palatino Linotype" w:hAnsi="Palatino Linotype"/>
          <w:sz w:val="24"/>
          <w:szCs w:val="24"/>
        </w:rPr>
        <w:t>definidas las funciones que por puesto o cargo desempeñarán los servidores públicos que se encuentran adscritos a él.</w:t>
      </w:r>
    </w:p>
    <w:p w:rsidR="00827310" w:rsidRPr="00F44003" w:rsidRDefault="008D683C" w:rsidP="00827310">
      <w:pPr>
        <w:spacing w:before="100" w:beforeAutospacing="1" w:after="100" w:afterAutospacing="1" w:line="360" w:lineRule="auto"/>
        <w:jc w:val="both"/>
        <w:rPr>
          <w:rFonts w:ascii="Palatino Linotype" w:hAnsi="Palatino Linotype" w:cs="Segoe UI"/>
          <w:sz w:val="24"/>
          <w:szCs w:val="24"/>
        </w:rPr>
      </w:pPr>
      <w:r w:rsidRPr="00F44003">
        <w:rPr>
          <w:rFonts w:ascii="Palatino Linotype" w:hAnsi="Palatino Linotype"/>
          <w:sz w:val="24"/>
          <w:szCs w:val="24"/>
        </w:rPr>
        <w:t>Así de manera, enunciativa</w:t>
      </w:r>
      <w:r w:rsidR="00827310" w:rsidRPr="00F44003">
        <w:rPr>
          <w:rFonts w:ascii="Palatino Linotype" w:hAnsi="Palatino Linotype"/>
          <w:sz w:val="24"/>
          <w:szCs w:val="24"/>
        </w:rPr>
        <w:t xml:space="preserve"> el documento que podría dar cuenta de lo solicitado podría ser el Catálogo de Puestos, el cual </w:t>
      </w:r>
      <w:r w:rsidR="00827310" w:rsidRPr="00F44003">
        <w:rPr>
          <w:rFonts w:ascii="Palatino Linotype" w:hAnsi="Palatino Linotype" w:cs="Segoe UI"/>
          <w:sz w:val="24"/>
          <w:szCs w:val="24"/>
        </w:rPr>
        <w:t>según el Glosario de Términos Administrativos, publicado por la Coordinación General de Estudios Administrativos, en el año de 1982, que menciona lo siguiente:</w:t>
      </w:r>
    </w:p>
    <w:p w:rsidR="00827310" w:rsidRPr="00F44003" w:rsidRDefault="00827310" w:rsidP="00827310">
      <w:pPr>
        <w:spacing w:before="100" w:beforeAutospacing="1" w:after="100" w:afterAutospacing="1"/>
        <w:ind w:left="851" w:right="851"/>
        <w:jc w:val="both"/>
        <w:rPr>
          <w:rFonts w:ascii="Palatino Linotype" w:hAnsi="Palatino Linotype" w:cs="Segoe UI"/>
          <w:b/>
          <w:bCs/>
          <w:i/>
        </w:rPr>
      </w:pPr>
      <w:r w:rsidRPr="00F44003">
        <w:rPr>
          <w:rFonts w:ascii="Palatino Linotype" w:hAnsi="Palatino Linotype" w:cs="Segoe UI"/>
          <w:b/>
          <w:bCs/>
          <w:i/>
        </w:rPr>
        <w:t>“CATALOGO DE PUESTOS</w:t>
      </w:r>
    </w:p>
    <w:p w:rsidR="00827310" w:rsidRPr="00F44003" w:rsidRDefault="00827310" w:rsidP="00827310">
      <w:pPr>
        <w:spacing w:before="100" w:beforeAutospacing="1" w:after="100" w:afterAutospacing="1"/>
        <w:ind w:left="851" w:right="851"/>
        <w:jc w:val="both"/>
        <w:rPr>
          <w:rFonts w:ascii="Palatino Linotype" w:hAnsi="Palatino Linotype" w:cs="Segoe UI"/>
          <w:i/>
        </w:rPr>
      </w:pPr>
      <w:r w:rsidRPr="00F44003">
        <w:rPr>
          <w:rFonts w:ascii="Palatino Linotype" w:hAnsi="Palatino Linotype" w:cs="Segoe UI"/>
          <w:i/>
        </w:rPr>
        <w:t>Es un documento que reúne, clasifica y sistematiza información sobre los títulos, las descripciones y las especificaciones de los puestos de trabajo de una institución pública o privada.”</w:t>
      </w:r>
    </w:p>
    <w:p w:rsidR="00827310" w:rsidRPr="00F44003" w:rsidRDefault="00827310" w:rsidP="00827310">
      <w:pPr>
        <w:spacing w:before="100" w:beforeAutospacing="1" w:after="100" w:afterAutospacing="1" w:line="360" w:lineRule="auto"/>
        <w:jc w:val="both"/>
        <w:rPr>
          <w:rFonts w:ascii="Palatino Linotype" w:hAnsi="Palatino Linotype" w:cs="Segoe UI"/>
          <w:sz w:val="24"/>
          <w:szCs w:val="24"/>
        </w:rPr>
      </w:pPr>
      <w:r w:rsidRPr="00F44003">
        <w:rPr>
          <w:rFonts w:ascii="Palatino Linotype" w:hAnsi="Palatino Linotype" w:cs="Segoe UI"/>
          <w:sz w:val="24"/>
          <w:szCs w:val="24"/>
        </w:rPr>
        <w:t xml:space="preserve">En ese mismo sentido, el Manual de Normas y Procedimientos de Desarrollo y Administración de Personal, el su sección 2.2 denominado Catálogo de puestos define lo siguiente; </w:t>
      </w:r>
      <w:r w:rsidRPr="00F44003">
        <w:rPr>
          <w:rFonts w:ascii="Palatino Linotype" w:hAnsi="Palatino Linotype" w:cs="Segoe UI"/>
          <w:i/>
          <w:sz w:val="24"/>
          <w:szCs w:val="24"/>
        </w:rPr>
        <w:t xml:space="preserve">el Catálogo General de Puestos es un instrumento administrativo en el </w:t>
      </w:r>
      <w:r w:rsidRPr="00F44003">
        <w:rPr>
          <w:rFonts w:ascii="Palatino Linotype" w:hAnsi="Palatino Linotype" w:cs="Segoe UI"/>
          <w:i/>
          <w:sz w:val="24"/>
          <w:szCs w:val="24"/>
        </w:rPr>
        <w:lastRenderedPageBreak/>
        <w:t>que éstos se describen y clasifican, de acuerdo a su análisis y valuación respectivas, efectuadas conforme a las normas correspondientes.</w:t>
      </w:r>
    </w:p>
    <w:p w:rsidR="00827310" w:rsidRPr="00F44003" w:rsidRDefault="00827310" w:rsidP="00827310">
      <w:pPr>
        <w:spacing w:before="100" w:beforeAutospacing="1" w:after="100" w:afterAutospacing="1" w:line="360" w:lineRule="auto"/>
        <w:jc w:val="both"/>
        <w:rPr>
          <w:rFonts w:ascii="Palatino Linotype" w:hAnsi="Palatino Linotype" w:cs="Segoe UI"/>
          <w:sz w:val="24"/>
          <w:szCs w:val="24"/>
        </w:rPr>
      </w:pPr>
      <w:r w:rsidRPr="00F44003">
        <w:rPr>
          <w:rFonts w:ascii="Palatino Linotype" w:hAnsi="Palatino Linotype" w:cs="Segoe UI"/>
          <w:sz w:val="24"/>
          <w:szCs w:val="24"/>
        </w:rPr>
        <w:t xml:space="preserve">Relacionado con lo anterior, es importante invocar la Ley del Trabajo de los Servidores Públicos del Estado y Municipios, lo estipulado en sus artículos 4 fracción III, 98 </w:t>
      </w:r>
      <w:proofErr w:type="gramStart"/>
      <w:r w:rsidRPr="00F44003">
        <w:rPr>
          <w:rFonts w:ascii="Palatino Linotype" w:hAnsi="Palatino Linotype" w:cs="Segoe UI"/>
          <w:sz w:val="24"/>
          <w:szCs w:val="24"/>
        </w:rPr>
        <w:t>fracción</w:t>
      </w:r>
      <w:proofErr w:type="gramEnd"/>
      <w:r w:rsidRPr="00F44003">
        <w:rPr>
          <w:rFonts w:ascii="Palatino Linotype" w:hAnsi="Palatino Linotype" w:cs="Segoe UI"/>
          <w:sz w:val="24"/>
          <w:szCs w:val="24"/>
        </w:rPr>
        <w:t xml:space="preserve"> XV y 100 fracción I, que se trascriben a continuación:</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ARTÍCULO 4. Para efectos de esta ley se entiende:</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III. Institución Pública: A cada uno de los poderes públicos del Estado, los municipios y los tribunales administrativos; así como los organismos descentralizados, fideicomisos de carácter estatal y municipal, y los órganos autónomos que sus leyes de creación así lo determinen. (…)</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ARTÍCULO 98. Son obligaciones de las instituciones públicas:</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XV. Elaborar un catálogo general de puestos y un tabulador anual de remuneraciones, tomando en consideración los objetivos de las instituciones públicas, las funciones, actividades y tareas de los servidores públicos, así como la cantidad, calidad y responsabilidad del trabajo; el tabulador deberá respetar las medidas de protección al salario establecidas en la presente ley; (…)</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 xml:space="preserve">“ARTÍCULO 100. Los sistemas de profesionalización que establezcan las instituciones públicas deberán conformarse a partir de las siguientes bases: </w:t>
      </w:r>
    </w:p>
    <w:p w:rsidR="00827310" w:rsidRPr="00F44003" w:rsidRDefault="00827310" w:rsidP="00F44003">
      <w:pPr>
        <w:spacing w:after="0" w:line="240" w:lineRule="auto"/>
        <w:ind w:left="851" w:right="851"/>
        <w:jc w:val="both"/>
        <w:rPr>
          <w:rFonts w:ascii="Palatino Linotype" w:hAnsi="Palatino Linotype" w:cs="Segoe UI"/>
          <w:i/>
        </w:rPr>
      </w:pPr>
      <w:r w:rsidRPr="00F44003">
        <w:rPr>
          <w:rFonts w:ascii="Palatino Linotype" w:hAnsi="Palatino Linotype" w:cs="Segoe UI"/>
          <w:i/>
        </w:rPr>
        <w:t xml:space="preserve">I. Definición de un catálogo de puestos por institución pública o dependencia que deberá contener el perfil de cada uno de los existentes, los requisitos necesarios para desempeñarlos y el nivel salarial y </w:t>
      </w:r>
      <w:proofErr w:type="spellStart"/>
      <w:r w:rsidRPr="00F44003">
        <w:rPr>
          <w:rFonts w:ascii="Palatino Linotype" w:hAnsi="Palatino Linotype" w:cs="Segoe UI"/>
          <w:i/>
        </w:rPr>
        <w:t>escalafonario</w:t>
      </w:r>
      <w:proofErr w:type="spellEnd"/>
      <w:r w:rsidRPr="00F44003">
        <w:rPr>
          <w:rFonts w:ascii="Palatino Linotype" w:hAnsi="Palatino Linotype" w:cs="Segoe UI"/>
          <w:i/>
        </w:rPr>
        <w:t xml:space="preserve"> que les corresponde; (…)”</w:t>
      </w:r>
    </w:p>
    <w:p w:rsidR="00EA0BD9" w:rsidRPr="00F44003" w:rsidRDefault="00827310" w:rsidP="00F44003">
      <w:pPr>
        <w:spacing w:before="100" w:beforeAutospacing="1" w:after="100" w:afterAutospacing="1" w:line="360" w:lineRule="auto"/>
        <w:jc w:val="both"/>
        <w:rPr>
          <w:rFonts w:ascii="Palatino Linotype" w:hAnsi="Palatino Linotype"/>
          <w:sz w:val="24"/>
          <w:szCs w:val="24"/>
        </w:rPr>
      </w:pPr>
      <w:r w:rsidRPr="00F44003">
        <w:rPr>
          <w:rFonts w:ascii="Palatino Linotype" w:eastAsia="Times New Roman" w:hAnsi="Palatino Linotype" w:cs="Arial"/>
          <w:sz w:val="24"/>
          <w:szCs w:val="24"/>
        </w:rPr>
        <w:t>Derivado de lo expuesto en líneas anteriores, se advier</w:t>
      </w:r>
      <w:r w:rsidR="00F44003" w:rsidRPr="00F44003">
        <w:rPr>
          <w:rFonts w:ascii="Palatino Linotype" w:eastAsia="Times New Roman" w:hAnsi="Palatino Linotype" w:cs="Arial"/>
          <w:sz w:val="24"/>
          <w:szCs w:val="24"/>
        </w:rPr>
        <w:t>te que el</w:t>
      </w:r>
      <w:r w:rsidRPr="00F44003">
        <w:rPr>
          <w:rFonts w:ascii="Palatino Linotype" w:eastAsia="Times New Roman" w:hAnsi="Palatino Linotype" w:cs="Arial"/>
          <w:sz w:val="24"/>
          <w:szCs w:val="24"/>
        </w:rPr>
        <w:t xml:space="preserve"> catálogo de puestos, es el documento que por sus características, clasifica y sistematiza la información referente a las descripciones de los puestos de trabajo, para el caso específic</w:t>
      </w:r>
      <w:r w:rsidR="00F44003" w:rsidRPr="00F44003">
        <w:rPr>
          <w:rFonts w:ascii="Palatino Linotype" w:eastAsia="Times New Roman" w:hAnsi="Palatino Linotype" w:cs="Arial"/>
          <w:sz w:val="24"/>
          <w:szCs w:val="24"/>
        </w:rPr>
        <w:t>o de las instituciones públicas, por ende e</w:t>
      </w:r>
      <w:r w:rsidRPr="00F44003">
        <w:rPr>
          <w:rFonts w:ascii="Palatino Linotype" w:eastAsia="Times New Roman" w:hAnsi="Palatino Linotype" w:cs="Arial"/>
          <w:sz w:val="24"/>
          <w:szCs w:val="24"/>
        </w:rPr>
        <w:t>l Sujeto Obligado al ser una institución pública, calidad que le otorga la Ley del Trabajo de los Servidores Públicos del Estado y Municipios, tiene las obligaciones que ésta misma</w:t>
      </w:r>
      <w:r w:rsidR="00F44003" w:rsidRPr="00F44003">
        <w:rPr>
          <w:rFonts w:ascii="Palatino Linotype" w:eastAsia="Times New Roman" w:hAnsi="Palatino Linotype" w:cs="Arial"/>
          <w:sz w:val="24"/>
          <w:szCs w:val="24"/>
        </w:rPr>
        <w:t xml:space="preserve"> le confieren de manera expresa, por lo cual se considera que se pudo haber ordenado lo referente al documento en </w:t>
      </w:r>
      <w:r w:rsidR="00F44003" w:rsidRPr="00F44003">
        <w:rPr>
          <w:rFonts w:ascii="Palatino Linotype" w:eastAsia="Times New Roman" w:hAnsi="Palatino Linotype" w:cs="Arial"/>
          <w:sz w:val="24"/>
          <w:szCs w:val="24"/>
        </w:rPr>
        <w:lastRenderedPageBreak/>
        <w:t>donde consten las funciones de los servidores públicos que fueron dados de baja en el periodo solicitado.</w:t>
      </w:r>
      <w:r w:rsidR="00F44003" w:rsidRPr="00F44003">
        <w:rPr>
          <w:rFonts w:ascii="Palatino Linotype" w:hAnsi="Palatino Linotype"/>
          <w:sz w:val="24"/>
          <w:szCs w:val="24"/>
        </w:rPr>
        <w:t xml:space="preserve"> </w:t>
      </w:r>
    </w:p>
    <w:p w:rsidR="001D05CE" w:rsidRPr="00F44003" w:rsidRDefault="001D05CE" w:rsidP="001D05CE">
      <w:pPr>
        <w:spacing w:before="240" w:after="240" w:line="360" w:lineRule="auto"/>
        <w:jc w:val="both"/>
        <w:rPr>
          <w:rFonts w:ascii="Palatino Linotype" w:hAnsi="Palatino Linotype"/>
          <w:sz w:val="24"/>
          <w:szCs w:val="24"/>
        </w:rPr>
      </w:pPr>
      <w:r w:rsidRPr="00F44003">
        <w:rPr>
          <w:rFonts w:ascii="Palatino Linotype" w:hAnsi="Palatino Linotype"/>
          <w:sz w:val="24"/>
          <w:szCs w:val="24"/>
        </w:rPr>
        <w:t>En conclusión y a mi consideración, el sentido de la resolución es compartido, ya</w:t>
      </w:r>
      <w:r w:rsidRPr="00F44003">
        <w:rPr>
          <w:rFonts w:ascii="Palatino Linotype" w:hAnsi="Palatino Linotype" w:cs="Arial"/>
          <w:sz w:val="24"/>
          <w:szCs w:val="24"/>
        </w:rPr>
        <w:t xml:space="preserve"> que estimo resultaba procedente </w:t>
      </w:r>
      <w:r w:rsidR="00DC53A7" w:rsidRPr="00F44003">
        <w:rPr>
          <w:rFonts w:ascii="Palatino Linotype" w:hAnsi="Palatino Linotype" w:cs="Arial"/>
          <w:sz w:val="24"/>
          <w:szCs w:val="24"/>
        </w:rPr>
        <w:t>modificar</w:t>
      </w:r>
      <w:r w:rsidR="00F44003" w:rsidRPr="00F44003">
        <w:rPr>
          <w:rFonts w:ascii="Palatino Linotype" w:hAnsi="Palatino Linotype" w:cs="Arial"/>
          <w:sz w:val="24"/>
          <w:szCs w:val="24"/>
        </w:rPr>
        <w:t xml:space="preserve"> la </w:t>
      </w:r>
      <w:r w:rsidRPr="00F44003">
        <w:rPr>
          <w:rFonts w:ascii="Palatino Linotype" w:hAnsi="Palatino Linotype" w:cs="Arial"/>
          <w:sz w:val="24"/>
          <w:szCs w:val="24"/>
        </w:rPr>
        <w:t>respuesta del Sujeto Obligado, para tener por satisfecho el derecho de acceso a la información pública del particular, el cual es menester de éste Pleno garantizar. No obstante, para el suscrito, faltó considera</w:t>
      </w:r>
      <w:r w:rsidR="00F44003" w:rsidRPr="00F44003">
        <w:rPr>
          <w:rFonts w:ascii="Palatino Linotype" w:hAnsi="Palatino Linotype" w:cs="Arial"/>
          <w:sz w:val="24"/>
          <w:szCs w:val="24"/>
        </w:rPr>
        <w:t>r que las funciones peticionadas eran por cada servidor público conforme al cargo o puesto en el que se desempeñaban</w:t>
      </w:r>
      <w:r w:rsidRPr="00F44003">
        <w:rPr>
          <w:rFonts w:ascii="Palatino Linotype" w:hAnsi="Palatino Linotype"/>
          <w:sz w:val="24"/>
          <w:szCs w:val="24"/>
        </w:rPr>
        <w:t>.</w:t>
      </w:r>
    </w:p>
    <w:p w:rsidR="001D05CE" w:rsidRPr="00F44003" w:rsidRDefault="001D05CE" w:rsidP="001D05CE">
      <w:pPr>
        <w:spacing w:after="0" w:line="360" w:lineRule="auto"/>
        <w:jc w:val="both"/>
        <w:rPr>
          <w:rFonts w:ascii="Palatino Linotype" w:hAnsi="Palatino Linotype"/>
          <w:sz w:val="24"/>
          <w:szCs w:val="24"/>
        </w:rPr>
      </w:pPr>
      <w:r w:rsidRPr="00F44003">
        <w:rPr>
          <w:rFonts w:ascii="Palatino Linotype" w:hAnsi="Palatino Linotype"/>
          <w:sz w:val="24"/>
          <w:szCs w:val="24"/>
        </w:rPr>
        <w:t>Por todo lo expuesto es que formulo el presente voto particular, en los términos</w:t>
      </w:r>
      <w:r w:rsidRPr="00F44003">
        <w:rPr>
          <w:rFonts w:ascii="Palatino Linotype" w:hAnsi="Palatino Linotype" w:cs="Arial"/>
          <w:sz w:val="24"/>
          <w:szCs w:val="24"/>
        </w:rPr>
        <w:t xml:space="preserve"> precisados, considerando que las reflexiones aquí expuestas hubieran resultado importantes para ordenar la entrega de la información que se hace en el recurso de revisión que fue resuelto por el Pleno de este Instituto, mencionado.</w:t>
      </w:r>
    </w:p>
    <w:p w:rsidR="00F01CB4" w:rsidRPr="00F44003" w:rsidRDefault="00F01CB4" w:rsidP="00F72283">
      <w:pPr>
        <w:spacing w:after="0" w:line="360" w:lineRule="auto"/>
        <w:jc w:val="both"/>
        <w:rPr>
          <w:rFonts w:ascii="Palatino Linotype" w:hAnsi="Palatino Linotype"/>
          <w:sz w:val="24"/>
          <w:szCs w:val="24"/>
        </w:rPr>
      </w:pPr>
    </w:p>
    <w:p w:rsidR="00F01CB4" w:rsidRPr="00F44003" w:rsidRDefault="00F01CB4" w:rsidP="00F72283">
      <w:pPr>
        <w:spacing w:after="0" w:line="360" w:lineRule="auto"/>
        <w:jc w:val="both"/>
        <w:rPr>
          <w:rFonts w:ascii="Palatino Linotype" w:hAnsi="Palatino Linotype"/>
          <w:sz w:val="24"/>
          <w:szCs w:val="24"/>
        </w:rPr>
      </w:pPr>
    </w:p>
    <w:tbl>
      <w:tblPr>
        <w:tblW w:w="2385" w:type="pct"/>
        <w:jc w:val="center"/>
        <w:tblLook w:val="04A0" w:firstRow="1" w:lastRow="0" w:firstColumn="1" w:lastColumn="0" w:noHBand="0" w:noVBand="1"/>
      </w:tblPr>
      <w:tblGrid>
        <w:gridCol w:w="4216"/>
      </w:tblGrid>
      <w:tr w:rsidR="00242EAB" w:rsidRPr="00F44003" w:rsidTr="00242EAB">
        <w:trPr>
          <w:jc w:val="center"/>
        </w:trPr>
        <w:tc>
          <w:tcPr>
            <w:tcW w:w="5000" w:type="pct"/>
          </w:tcPr>
          <w:p w:rsidR="00242EAB" w:rsidRPr="00F44003" w:rsidRDefault="00242EAB" w:rsidP="005606D2">
            <w:pPr>
              <w:jc w:val="center"/>
              <w:rPr>
                <w:rFonts w:ascii="Palatino Linotype" w:hAnsi="Palatino Linotype" w:cs="Arial"/>
                <w:b/>
                <w:sz w:val="24"/>
                <w:szCs w:val="24"/>
              </w:rPr>
            </w:pPr>
          </w:p>
          <w:p w:rsidR="00242EAB" w:rsidRPr="00F44003" w:rsidRDefault="00242EAB" w:rsidP="00167960">
            <w:pPr>
              <w:spacing w:after="0" w:line="240" w:lineRule="auto"/>
              <w:jc w:val="center"/>
              <w:rPr>
                <w:rFonts w:ascii="Palatino Linotype" w:hAnsi="Palatino Linotype" w:cs="Arial"/>
                <w:b/>
                <w:sz w:val="24"/>
                <w:szCs w:val="24"/>
              </w:rPr>
            </w:pPr>
            <w:r w:rsidRPr="00F44003">
              <w:rPr>
                <w:rFonts w:ascii="Palatino Linotype" w:hAnsi="Palatino Linotype" w:cs="Arial"/>
                <w:b/>
                <w:sz w:val="24"/>
                <w:szCs w:val="24"/>
              </w:rPr>
              <w:t xml:space="preserve">Javier Martínez Cruz </w:t>
            </w:r>
          </w:p>
          <w:p w:rsidR="00242EAB" w:rsidRPr="00F44003" w:rsidRDefault="00242EAB" w:rsidP="00167960">
            <w:pPr>
              <w:spacing w:after="0" w:line="240" w:lineRule="auto"/>
              <w:jc w:val="center"/>
              <w:rPr>
                <w:rFonts w:ascii="Palatino Linotype" w:hAnsi="Palatino Linotype" w:cs="Arial"/>
                <w:sz w:val="24"/>
                <w:szCs w:val="24"/>
              </w:rPr>
            </w:pPr>
            <w:r w:rsidRPr="00F44003">
              <w:rPr>
                <w:rFonts w:ascii="Palatino Linotype" w:hAnsi="Palatino Linotype" w:cs="Arial"/>
                <w:sz w:val="24"/>
                <w:szCs w:val="24"/>
              </w:rPr>
              <w:t>Comisionado</w:t>
            </w:r>
          </w:p>
          <w:p w:rsidR="00167960" w:rsidRPr="00F44003" w:rsidRDefault="00167960" w:rsidP="00167960">
            <w:pPr>
              <w:spacing w:after="0" w:line="240" w:lineRule="auto"/>
              <w:jc w:val="center"/>
              <w:rPr>
                <w:rFonts w:ascii="Palatino Linotype" w:hAnsi="Palatino Linotype" w:cs="Arial"/>
                <w:sz w:val="24"/>
                <w:szCs w:val="24"/>
              </w:rPr>
            </w:pPr>
            <w:bookmarkStart w:id="0" w:name="_GoBack"/>
            <w:bookmarkEnd w:id="0"/>
          </w:p>
          <w:p w:rsidR="00242EAB" w:rsidRPr="00F44003" w:rsidRDefault="00242EAB" w:rsidP="005606D2">
            <w:pPr>
              <w:jc w:val="center"/>
              <w:rPr>
                <w:rFonts w:ascii="Palatino Linotype" w:hAnsi="Palatino Linotype" w:cs="Arial"/>
                <w:sz w:val="24"/>
                <w:szCs w:val="24"/>
              </w:rPr>
            </w:pPr>
          </w:p>
          <w:p w:rsidR="00242EAB" w:rsidRPr="00F44003" w:rsidRDefault="00242EAB" w:rsidP="005606D2">
            <w:pPr>
              <w:jc w:val="center"/>
              <w:rPr>
                <w:rFonts w:ascii="Palatino Linotype" w:hAnsi="Palatino Linotype" w:cs="Arial"/>
                <w:sz w:val="24"/>
                <w:szCs w:val="24"/>
              </w:rPr>
            </w:pPr>
          </w:p>
        </w:tc>
      </w:tr>
    </w:tbl>
    <w:p w:rsidR="00E47452" w:rsidRPr="00F44003" w:rsidRDefault="00B34377">
      <w:pPr>
        <w:rPr>
          <w:sz w:val="24"/>
          <w:szCs w:val="24"/>
        </w:rPr>
      </w:pPr>
    </w:p>
    <w:sectPr w:rsidR="00E47452" w:rsidRPr="00F4400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377" w:rsidRDefault="00B34377" w:rsidP="007B7F24">
      <w:pPr>
        <w:spacing w:after="0" w:line="240" w:lineRule="auto"/>
      </w:pPr>
      <w:r>
        <w:separator/>
      </w:r>
    </w:p>
  </w:endnote>
  <w:endnote w:type="continuationSeparator" w:id="0">
    <w:p w:rsidR="00B34377" w:rsidRDefault="00B34377" w:rsidP="007B7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452918"/>
      <w:docPartObj>
        <w:docPartGallery w:val="Page Numbers (Bottom of Page)"/>
        <w:docPartUnique/>
      </w:docPartObj>
    </w:sdtPr>
    <w:sdtEndPr/>
    <w:sdtContent>
      <w:p w:rsidR="003A44FB" w:rsidRDefault="003A44FB">
        <w:pPr>
          <w:pStyle w:val="Piedepgina"/>
          <w:jc w:val="right"/>
        </w:pPr>
        <w:r>
          <w:fldChar w:fldCharType="begin"/>
        </w:r>
        <w:r>
          <w:instrText>PAGE   \* MERGEFORMAT</w:instrText>
        </w:r>
        <w:r>
          <w:fldChar w:fldCharType="separate"/>
        </w:r>
        <w:r w:rsidR="00D07AE3" w:rsidRPr="00D07AE3">
          <w:rPr>
            <w:noProof/>
            <w:lang w:val="es-ES"/>
          </w:rPr>
          <w:t>5</w:t>
        </w:r>
        <w:r>
          <w:fldChar w:fldCharType="end"/>
        </w:r>
        <w:r>
          <w:t xml:space="preserve"> de 6</w:t>
        </w:r>
      </w:p>
    </w:sdtContent>
  </w:sdt>
  <w:p w:rsidR="003A44FB" w:rsidRDefault="003A44F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377" w:rsidRDefault="00B34377" w:rsidP="007B7F24">
      <w:pPr>
        <w:spacing w:after="0" w:line="240" w:lineRule="auto"/>
      </w:pPr>
      <w:r>
        <w:separator/>
      </w:r>
    </w:p>
  </w:footnote>
  <w:footnote w:type="continuationSeparator" w:id="0">
    <w:p w:rsidR="00B34377" w:rsidRDefault="00B34377" w:rsidP="007B7F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92B" w:rsidRDefault="0038192B" w:rsidP="007B7F24">
    <w:pPr>
      <w:pStyle w:val="Encabezado"/>
      <w:jc w:val="right"/>
      <w:rPr>
        <w:rFonts w:ascii="Palatino Linotype" w:hAnsi="Palatino Linotype"/>
        <w:b/>
      </w:rPr>
    </w:pPr>
  </w:p>
  <w:p w:rsidR="0038192B" w:rsidRDefault="0038192B" w:rsidP="007B7F24">
    <w:pPr>
      <w:pStyle w:val="Encabezado"/>
      <w:jc w:val="right"/>
      <w:rPr>
        <w:rFonts w:ascii="Palatino Linotype" w:hAnsi="Palatino Linotype"/>
        <w:b/>
      </w:rPr>
    </w:pPr>
  </w:p>
  <w:p w:rsidR="007C75B4" w:rsidRDefault="00B34377" w:rsidP="007B7F24">
    <w:pPr>
      <w:pStyle w:val="Encabezado"/>
      <w:jc w:val="right"/>
      <w:rPr>
        <w:rFonts w:ascii="Palatino Linotype" w:hAnsi="Palatino Linotype"/>
        <w:b/>
      </w:rPr>
    </w:pPr>
    <w:r>
      <w:rPr>
        <w:rFonts w:ascii="Palatino Linotype" w:hAnsi="Palatino Linotype"/>
        <w:b/>
        <w:noProof/>
        <w:lang w:eastAsia="es-MX"/>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4464111" o:spid="_x0000_s2049" type="#_x0000_t75" style="position:absolute;left:0;text-align:left;margin-left:-80.6pt;margin-top:-77.4pt;width:598.5pt;height:779.25pt;z-index:-251658752;mso-position-horizontal-relative:margin;mso-position-vertical-relative:margin" o:allowincell="f">
          <v:imagedata r:id="rId1" o:title="fondo opinion particular"/>
          <w10:wrap anchorx="margin" anchory="margin"/>
        </v:shape>
      </w:pict>
    </w:r>
    <w:r w:rsidR="007B7F24">
      <w:rPr>
        <w:rFonts w:ascii="Palatino Linotype" w:hAnsi="Palatino Linotype"/>
        <w:b/>
      </w:rPr>
      <w:t>VOTO PARTICULAR</w:t>
    </w:r>
    <w:r w:rsidR="00022D58">
      <w:rPr>
        <w:rFonts w:ascii="Palatino Linotype" w:hAnsi="Palatino Linotype"/>
        <w:b/>
      </w:rPr>
      <w:t xml:space="preserve"> </w:t>
    </w:r>
  </w:p>
  <w:p w:rsidR="007B7F24" w:rsidRPr="002A7C5D" w:rsidRDefault="007B7F24" w:rsidP="007B7F24">
    <w:pPr>
      <w:pStyle w:val="Encabezado"/>
      <w:jc w:val="right"/>
      <w:rPr>
        <w:rFonts w:ascii="Palatino Linotype" w:hAnsi="Palatino Linotype"/>
        <w:b/>
      </w:rPr>
    </w:pPr>
    <w:r w:rsidRPr="002A7C5D">
      <w:rPr>
        <w:rFonts w:ascii="Palatino Linotype" w:hAnsi="Palatino Linotype"/>
        <w:b/>
      </w:rPr>
      <w:t xml:space="preserve">RECURSO DE REVISIÓN </w:t>
    </w:r>
    <w:r w:rsidR="00F943FC">
      <w:rPr>
        <w:rFonts w:ascii="Palatino Linotype" w:hAnsi="Palatino Linotype" w:cs="Arial"/>
        <w:b/>
        <w:bCs/>
        <w:sz w:val="24"/>
        <w:szCs w:val="24"/>
        <w:lang w:eastAsia="es-MX"/>
      </w:rPr>
      <w:t>0737</w:t>
    </w:r>
    <w:r w:rsidRPr="00247AFA">
      <w:rPr>
        <w:rFonts w:ascii="Palatino Linotype" w:hAnsi="Palatino Linotype" w:cs="Arial"/>
        <w:b/>
        <w:bCs/>
        <w:sz w:val="24"/>
        <w:szCs w:val="24"/>
        <w:lang w:eastAsia="es-MX"/>
      </w:rPr>
      <w:t>/INFOEM/IP/RR/201</w:t>
    </w:r>
    <w:r w:rsidR="007C75B4">
      <w:rPr>
        <w:rFonts w:ascii="Palatino Linotype" w:hAnsi="Palatino Linotype" w:cs="Arial"/>
        <w:b/>
        <w:bCs/>
        <w:sz w:val="24"/>
        <w:szCs w:val="24"/>
        <w:lang w:eastAsia="es-MX"/>
      </w:rPr>
      <w:t>9</w:t>
    </w:r>
  </w:p>
  <w:p w:rsidR="007B7F24" w:rsidRDefault="007B7F2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22DAC"/>
    <w:multiLevelType w:val="hybridMultilevel"/>
    <w:tmpl w:val="848672D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52C364E"/>
    <w:multiLevelType w:val="hybridMultilevel"/>
    <w:tmpl w:val="4B8A7DBA"/>
    <w:lvl w:ilvl="0" w:tplc="AAD8938E">
      <w:start w:val="1"/>
      <w:numFmt w:val="upperRoman"/>
      <w:lvlText w:val="%1."/>
      <w:lvlJc w:val="left"/>
      <w:pPr>
        <w:ind w:left="1631" w:hanging="720"/>
      </w:pPr>
      <w:rPr>
        <w:rFonts w:hint="default"/>
      </w:rPr>
    </w:lvl>
    <w:lvl w:ilvl="1" w:tplc="080A0019" w:tentative="1">
      <w:start w:val="1"/>
      <w:numFmt w:val="lowerLetter"/>
      <w:lvlText w:val="%2."/>
      <w:lvlJc w:val="left"/>
      <w:pPr>
        <w:ind w:left="1991" w:hanging="360"/>
      </w:pPr>
    </w:lvl>
    <w:lvl w:ilvl="2" w:tplc="080A001B" w:tentative="1">
      <w:start w:val="1"/>
      <w:numFmt w:val="lowerRoman"/>
      <w:lvlText w:val="%3."/>
      <w:lvlJc w:val="right"/>
      <w:pPr>
        <w:ind w:left="2711" w:hanging="180"/>
      </w:pPr>
    </w:lvl>
    <w:lvl w:ilvl="3" w:tplc="080A000F" w:tentative="1">
      <w:start w:val="1"/>
      <w:numFmt w:val="decimal"/>
      <w:lvlText w:val="%4."/>
      <w:lvlJc w:val="left"/>
      <w:pPr>
        <w:ind w:left="3431" w:hanging="360"/>
      </w:pPr>
    </w:lvl>
    <w:lvl w:ilvl="4" w:tplc="080A0019" w:tentative="1">
      <w:start w:val="1"/>
      <w:numFmt w:val="lowerLetter"/>
      <w:lvlText w:val="%5."/>
      <w:lvlJc w:val="left"/>
      <w:pPr>
        <w:ind w:left="4151" w:hanging="360"/>
      </w:pPr>
    </w:lvl>
    <w:lvl w:ilvl="5" w:tplc="080A001B" w:tentative="1">
      <w:start w:val="1"/>
      <w:numFmt w:val="lowerRoman"/>
      <w:lvlText w:val="%6."/>
      <w:lvlJc w:val="right"/>
      <w:pPr>
        <w:ind w:left="4871" w:hanging="180"/>
      </w:pPr>
    </w:lvl>
    <w:lvl w:ilvl="6" w:tplc="080A000F" w:tentative="1">
      <w:start w:val="1"/>
      <w:numFmt w:val="decimal"/>
      <w:lvlText w:val="%7."/>
      <w:lvlJc w:val="left"/>
      <w:pPr>
        <w:ind w:left="5591" w:hanging="360"/>
      </w:pPr>
    </w:lvl>
    <w:lvl w:ilvl="7" w:tplc="080A0019" w:tentative="1">
      <w:start w:val="1"/>
      <w:numFmt w:val="lowerLetter"/>
      <w:lvlText w:val="%8."/>
      <w:lvlJc w:val="left"/>
      <w:pPr>
        <w:ind w:left="6311" w:hanging="360"/>
      </w:pPr>
    </w:lvl>
    <w:lvl w:ilvl="8" w:tplc="080A001B" w:tentative="1">
      <w:start w:val="1"/>
      <w:numFmt w:val="lowerRoman"/>
      <w:lvlText w:val="%9."/>
      <w:lvlJc w:val="right"/>
      <w:pPr>
        <w:ind w:left="703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F24"/>
    <w:rsid w:val="00002C40"/>
    <w:rsid w:val="00010B63"/>
    <w:rsid w:val="00022D58"/>
    <w:rsid w:val="0004437A"/>
    <w:rsid w:val="00051684"/>
    <w:rsid w:val="000B3E0A"/>
    <w:rsid w:val="000C3EF6"/>
    <w:rsid w:val="000F00F9"/>
    <w:rsid w:val="00135DC4"/>
    <w:rsid w:val="001402AF"/>
    <w:rsid w:val="00167960"/>
    <w:rsid w:val="001D05CE"/>
    <w:rsid w:val="00224F27"/>
    <w:rsid w:val="00242EAB"/>
    <w:rsid w:val="002F46ED"/>
    <w:rsid w:val="0038192B"/>
    <w:rsid w:val="003865B9"/>
    <w:rsid w:val="003A3CD4"/>
    <w:rsid w:val="003A44FB"/>
    <w:rsid w:val="003C6CE4"/>
    <w:rsid w:val="003D5BDB"/>
    <w:rsid w:val="00424B4B"/>
    <w:rsid w:val="00425AA9"/>
    <w:rsid w:val="004321DE"/>
    <w:rsid w:val="00491472"/>
    <w:rsid w:val="004B496B"/>
    <w:rsid w:val="004F1489"/>
    <w:rsid w:val="005054AB"/>
    <w:rsid w:val="005335E0"/>
    <w:rsid w:val="00565406"/>
    <w:rsid w:val="005F1723"/>
    <w:rsid w:val="00685DDB"/>
    <w:rsid w:val="006C63D8"/>
    <w:rsid w:val="006D1D78"/>
    <w:rsid w:val="006E45BC"/>
    <w:rsid w:val="0074660A"/>
    <w:rsid w:val="00781E0F"/>
    <w:rsid w:val="00783393"/>
    <w:rsid w:val="007B7F24"/>
    <w:rsid w:val="007C75B4"/>
    <w:rsid w:val="00816B2E"/>
    <w:rsid w:val="00827310"/>
    <w:rsid w:val="0089688E"/>
    <w:rsid w:val="008A6B28"/>
    <w:rsid w:val="008B1794"/>
    <w:rsid w:val="008D683C"/>
    <w:rsid w:val="00904362"/>
    <w:rsid w:val="00932036"/>
    <w:rsid w:val="00965028"/>
    <w:rsid w:val="00975C03"/>
    <w:rsid w:val="009B1CCB"/>
    <w:rsid w:val="009B3087"/>
    <w:rsid w:val="00A03C52"/>
    <w:rsid w:val="00A16E7C"/>
    <w:rsid w:val="00AC7876"/>
    <w:rsid w:val="00B34377"/>
    <w:rsid w:val="00B662DA"/>
    <w:rsid w:val="00B81394"/>
    <w:rsid w:val="00B93EB2"/>
    <w:rsid w:val="00B973C9"/>
    <w:rsid w:val="00BE51C4"/>
    <w:rsid w:val="00C2039C"/>
    <w:rsid w:val="00C55F12"/>
    <w:rsid w:val="00C57860"/>
    <w:rsid w:val="00CB22B1"/>
    <w:rsid w:val="00D07AE3"/>
    <w:rsid w:val="00D42BA0"/>
    <w:rsid w:val="00D467A2"/>
    <w:rsid w:val="00D937CF"/>
    <w:rsid w:val="00DC53A7"/>
    <w:rsid w:val="00E026B3"/>
    <w:rsid w:val="00E1694B"/>
    <w:rsid w:val="00E8057E"/>
    <w:rsid w:val="00E85126"/>
    <w:rsid w:val="00EA0BD9"/>
    <w:rsid w:val="00EC1C22"/>
    <w:rsid w:val="00EC6C28"/>
    <w:rsid w:val="00EE11CF"/>
    <w:rsid w:val="00F01CB4"/>
    <w:rsid w:val="00F44003"/>
    <w:rsid w:val="00F53D42"/>
    <w:rsid w:val="00F72283"/>
    <w:rsid w:val="00F943FC"/>
    <w:rsid w:val="00F94C35"/>
    <w:rsid w:val="00FC34E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7337BA62-8B5A-4816-B644-9D7C522B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F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B7F24"/>
    <w:pPr>
      <w:spacing w:before="100" w:beforeAutospacing="1" w:after="100" w:afterAutospacing="1" w:line="240" w:lineRule="auto"/>
    </w:pPr>
    <w:rPr>
      <w:rFonts w:ascii="Times New Roman" w:eastAsiaTheme="minorEastAsia" w:hAnsi="Times New Roman" w:cs="Times New Roman"/>
      <w:sz w:val="24"/>
      <w:szCs w:val="24"/>
      <w:lang w:eastAsia="es-MX"/>
    </w:rPr>
  </w:style>
  <w:style w:type="paragraph" w:styleId="Encabezado">
    <w:name w:val="header"/>
    <w:basedOn w:val="Normal"/>
    <w:link w:val="EncabezadoCar"/>
    <w:uiPriority w:val="99"/>
    <w:unhideWhenUsed/>
    <w:rsid w:val="007B7F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7F24"/>
  </w:style>
  <w:style w:type="paragraph" w:styleId="Piedepgina">
    <w:name w:val="footer"/>
    <w:basedOn w:val="Normal"/>
    <w:link w:val="PiedepginaCar"/>
    <w:uiPriority w:val="99"/>
    <w:unhideWhenUsed/>
    <w:rsid w:val="007B7F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7F24"/>
  </w:style>
  <w:style w:type="table" w:styleId="Tablaconcuadrcula">
    <w:name w:val="Table Grid"/>
    <w:basedOn w:val="Tablanormal"/>
    <w:uiPriority w:val="39"/>
    <w:rsid w:val="00F94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D1D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1D78"/>
    <w:rPr>
      <w:rFonts w:ascii="Segoe UI" w:hAnsi="Segoe UI" w:cs="Segoe UI"/>
      <w:sz w:val="18"/>
      <w:szCs w:val="18"/>
    </w:rPr>
  </w:style>
  <w:style w:type="paragraph" w:styleId="Prrafodelista">
    <w:name w:val="List Paragraph"/>
    <w:basedOn w:val="Normal"/>
    <w:uiPriority w:val="34"/>
    <w:qFormat/>
    <w:rsid w:val="000B3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6</Pages>
  <Words>1556</Words>
  <Characters>8564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INFOEM</Company>
  <LinksUpToDate>false</LinksUpToDate>
  <CharactersWithSpaces>10100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p:lastModifiedBy>
  <cp:revision>48</cp:revision>
  <cp:lastPrinted>2019-04-29T22:01:00Z</cp:lastPrinted>
  <dcterms:created xsi:type="dcterms:W3CDTF">2017-07-07T16:44:00Z</dcterms:created>
  <dcterms:modified xsi:type="dcterms:W3CDTF">2019-04-29T22:01:00Z</dcterms:modified>
</cp:coreProperties>
</file>